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96" w:type="dxa"/>
        <w:tblLook w:val="04A0"/>
      </w:tblPr>
      <w:tblGrid>
        <w:gridCol w:w="9596"/>
      </w:tblGrid>
      <w:tr w:rsidR="006D5EB5" w:rsidRPr="0094544D" w:rsidTr="006D5EB5">
        <w:trPr>
          <w:trHeight w:val="3274"/>
        </w:trPr>
        <w:tc>
          <w:tcPr>
            <w:tcW w:w="9596" w:type="dxa"/>
          </w:tcPr>
          <w:p w:rsidR="006D5EB5" w:rsidRPr="0094544D" w:rsidRDefault="006D5EB5">
            <w:pPr>
              <w:jc w:val="center"/>
              <w:rPr>
                <w:b/>
                <w:sz w:val="28"/>
                <w:szCs w:val="28"/>
              </w:rPr>
            </w:pPr>
            <w:r w:rsidRPr="0094544D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EB5" w:rsidRPr="0094544D" w:rsidRDefault="006D5EB5">
            <w:pPr>
              <w:jc w:val="center"/>
              <w:rPr>
                <w:b/>
                <w:sz w:val="28"/>
                <w:szCs w:val="28"/>
              </w:rPr>
            </w:pPr>
          </w:p>
          <w:p w:rsidR="0037504F" w:rsidRDefault="006D5EB5">
            <w:pPr>
              <w:jc w:val="center"/>
              <w:rPr>
                <w:b/>
                <w:sz w:val="28"/>
                <w:szCs w:val="28"/>
              </w:rPr>
            </w:pPr>
            <w:r w:rsidRPr="0094544D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D5EB5" w:rsidRPr="0094544D" w:rsidRDefault="006D5EB5" w:rsidP="0037504F">
            <w:pPr>
              <w:jc w:val="center"/>
              <w:rPr>
                <w:b/>
                <w:sz w:val="28"/>
                <w:szCs w:val="28"/>
              </w:rPr>
            </w:pPr>
            <w:r w:rsidRPr="0094544D">
              <w:rPr>
                <w:b/>
                <w:sz w:val="28"/>
                <w:szCs w:val="28"/>
              </w:rPr>
              <w:t>ЮРЛИНСКОГО</w:t>
            </w:r>
            <w:r w:rsidR="0037504F">
              <w:rPr>
                <w:b/>
                <w:sz w:val="28"/>
                <w:szCs w:val="28"/>
              </w:rPr>
              <w:t xml:space="preserve">  </w:t>
            </w:r>
            <w:r w:rsidRPr="0094544D">
              <w:rPr>
                <w:b/>
                <w:sz w:val="28"/>
                <w:szCs w:val="28"/>
              </w:rPr>
              <w:t xml:space="preserve">МУНИЦИПАЛЬНОГО </w:t>
            </w:r>
            <w:r w:rsidR="0037504F">
              <w:rPr>
                <w:b/>
                <w:sz w:val="28"/>
                <w:szCs w:val="28"/>
              </w:rPr>
              <w:t xml:space="preserve"> </w:t>
            </w:r>
            <w:r w:rsidRPr="0094544D">
              <w:rPr>
                <w:b/>
                <w:sz w:val="28"/>
                <w:szCs w:val="28"/>
              </w:rPr>
              <w:t>РАЙОНА</w:t>
            </w:r>
          </w:p>
          <w:p w:rsidR="006D5EB5" w:rsidRPr="0094544D" w:rsidRDefault="006D5EB5">
            <w:pPr>
              <w:rPr>
                <w:sz w:val="28"/>
                <w:szCs w:val="28"/>
              </w:rPr>
            </w:pPr>
          </w:p>
          <w:p w:rsidR="006D5EB5" w:rsidRPr="0094544D" w:rsidRDefault="00171AD1" w:rsidP="00006359">
            <w:pPr>
              <w:rPr>
                <w:sz w:val="28"/>
                <w:szCs w:val="28"/>
              </w:rPr>
            </w:pPr>
            <w:r w:rsidRPr="0094544D">
              <w:rPr>
                <w:sz w:val="28"/>
                <w:szCs w:val="28"/>
              </w:rPr>
              <w:t xml:space="preserve">   </w:t>
            </w:r>
            <w:r w:rsidR="00006359" w:rsidRPr="0094544D">
              <w:rPr>
                <w:sz w:val="28"/>
                <w:szCs w:val="28"/>
              </w:rPr>
              <w:t xml:space="preserve">                                           </w:t>
            </w:r>
            <w:r w:rsidR="006A1F80" w:rsidRPr="0094544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D5EB5" w:rsidRPr="0094544D" w:rsidTr="006D5EB5">
        <w:trPr>
          <w:trHeight w:val="379"/>
        </w:trPr>
        <w:tc>
          <w:tcPr>
            <w:tcW w:w="9596" w:type="dxa"/>
          </w:tcPr>
          <w:p w:rsidR="006D5EB5" w:rsidRPr="0094544D" w:rsidRDefault="006D5EB5" w:rsidP="00F62890">
            <w:pPr>
              <w:rPr>
                <w:noProof/>
                <w:sz w:val="28"/>
                <w:szCs w:val="28"/>
              </w:rPr>
            </w:pPr>
          </w:p>
        </w:tc>
      </w:tr>
    </w:tbl>
    <w:p w:rsidR="00AD6079" w:rsidRPr="0037504F" w:rsidRDefault="00974FA5" w:rsidP="00F62890">
      <w:pPr>
        <w:tabs>
          <w:tab w:val="left" w:pos="7312"/>
        </w:tabs>
        <w:jc w:val="both"/>
        <w:rPr>
          <w:sz w:val="28"/>
          <w:szCs w:val="28"/>
        </w:rPr>
      </w:pPr>
      <w:r w:rsidRPr="00B4489E">
        <w:rPr>
          <w:sz w:val="28"/>
          <w:szCs w:val="28"/>
        </w:rPr>
        <w:t xml:space="preserve">от </w:t>
      </w:r>
      <w:r w:rsidR="00B51E43">
        <w:rPr>
          <w:sz w:val="28"/>
          <w:szCs w:val="28"/>
        </w:rPr>
        <w:t xml:space="preserve">10 </w:t>
      </w:r>
      <w:r w:rsidR="00941DC1">
        <w:rPr>
          <w:sz w:val="28"/>
          <w:szCs w:val="28"/>
        </w:rPr>
        <w:t>февраля</w:t>
      </w:r>
      <w:r w:rsidR="00E9260D">
        <w:rPr>
          <w:sz w:val="28"/>
          <w:szCs w:val="28"/>
        </w:rPr>
        <w:t xml:space="preserve"> </w:t>
      </w:r>
      <w:r w:rsidR="00972F95" w:rsidRPr="00CE6400">
        <w:rPr>
          <w:sz w:val="28"/>
          <w:szCs w:val="28"/>
        </w:rPr>
        <w:t xml:space="preserve"> </w:t>
      </w:r>
      <w:r w:rsidR="00B678B4" w:rsidRPr="00CE6400">
        <w:rPr>
          <w:sz w:val="28"/>
          <w:szCs w:val="28"/>
        </w:rPr>
        <w:t>201</w:t>
      </w:r>
      <w:r w:rsidR="00941DC1">
        <w:rPr>
          <w:sz w:val="28"/>
          <w:szCs w:val="28"/>
        </w:rPr>
        <w:t>7</w:t>
      </w:r>
      <w:r w:rsidR="00293BDB">
        <w:rPr>
          <w:sz w:val="28"/>
          <w:szCs w:val="28"/>
        </w:rPr>
        <w:t xml:space="preserve"> </w:t>
      </w:r>
      <w:r w:rsidR="00B678B4" w:rsidRPr="00B4489E">
        <w:rPr>
          <w:sz w:val="28"/>
          <w:szCs w:val="28"/>
        </w:rPr>
        <w:t>год</w:t>
      </w:r>
      <w:r w:rsidR="006578F1">
        <w:rPr>
          <w:sz w:val="28"/>
          <w:szCs w:val="28"/>
        </w:rPr>
        <w:t>а</w:t>
      </w:r>
      <w:r w:rsidR="006D5EB5" w:rsidRPr="00B4489E">
        <w:rPr>
          <w:sz w:val="28"/>
          <w:szCs w:val="28"/>
        </w:rPr>
        <w:tab/>
      </w:r>
      <w:r w:rsidR="00123D82" w:rsidRPr="00B4489E">
        <w:rPr>
          <w:sz w:val="28"/>
          <w:szCs w:val="28"/>
        </w:rPr>
        <w:t xml:space="preserve">     </w:t>
      </w:r>
      <w:r w:rsidR="006D5EB5" w:rsidRPr="00B4489E">
        <w:rPr>
          <w:sz w:val="28"/>
          <w:szCs w:val="28"/>
        </w:rPr>
        <w:t xml:space="preserve">№ </w:t>
      </w:r>
      <w:r w:rsidR="00B51E43">
        <w:rPr>
          <w:sz w:val="28"/>
          <w:szCs w:val="28"/>
        </w:rPr>
        <w:t>56</w:t>
      </w:r>
      <w:r w:rsidRPr="00972F95">
        <w:rPr>
          <w:b/>
          <w:sz w:val="28"/>
          <w:szCs w:val="28"/>
        </w:rPr>
        <w:t xml:space="preserve"> </w:t>
      </w:r>
    </w:p>
    <w:p w:rsidR="006D5EB5" w:rsidRPr="0037504F" w:rsidRDefault="006D5EB5" w:rsidP="00F62890">
      <w:pPr>
        <w:tabs>
          <w:tab w:val="left" w:pos="7312"/>
        </w:tabs>
        <w:ind w:hanging="284"/>
        <w:jc w:val="both"/>
        <w:rPr>
          <w:sz w:val="28"/>
          <w:szCs w:val="28"/>
        </w:rPr>
      </w:pPr>
    </w:p>
    <w:p w:rsidR="009307FF" w:rsidRPr="00B4489E" w:rsidRDefault="006D5EB5" w:rsidP="009307FF">
      <w:pPr>
        <w:tabs>
          <w:tab w:val="left" w:pos="7312"/>
        </w:tabs>
        <w:ind w:right="5387"/>
        <w:jc w:val="both"/>
        <w:rPr>
          <w:sz w:val="28"/>
          <w:szCs w:val="28"/>
        </w:rPr>
      </w:pPr>
      <w:r w:rsidRPr="00B4489E">
        <w:rPr>
          <w:sz w:val="28"/>
          <w:szCs w:val="28"/>
        </w:rPr>
        <w:t>О</w:t>
      </w:r>
      <w:r w:rsidR="00941DC1">
        <w:rPr>
          <w:sz w:val="28"/>
          <w:szCs w:val="28"/>
        </w:rPr>
        <w:t>б  утверждении  доклада</w:t>
      </w:r>
    </w:p>
    <w:p w:rsidR="00821EF3" w:rsidRDefault="00821EF3" w:rsidP="006D5EB5">
      <w:pPr>
        <w:tabs>
          <w:tab w:val="left" w:pos="7312"/>
        </w:tabs>
        <w:jc w:val="both"/>
        <w:rPr>
          <w:sz w:val="28"/>
          <w:szCs w:val="28"/>
        </w:rPr>
      </w:pPr>
    </w:p>
    <w:p w:rsidR="009307FF" w:rsidRPr="00E9260D" w:rsidRDefault="00941DC1" w:rsidP="00930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7FF">
        <w:rPr>
          <w:sz w:val="28"/>
          <w:szCs w:val="28"/>
        </w:rPr>
        <w:t xml:space="preserve"> В  соответствии  с  </w:t>
      </w:r>
      <w:r w:rsidR="00CC55AD">
        <w:rPr>
          <w:sz w:val="28"/>
          <w:szCs w:val="28"/>
        </w:rPr>
        <w:t>Постановлением  Правительства  Пермского края от 18 апреля 2014  года № 268-п, Постановлением  Администрации Юрлинского  муниципального  района от 21.12.2016 года № 383</w:t>
      </w:r>
      <w:r>
        <w:rPr>
          <w:sz w:val="28"/>
          <w:szCs w:val="28"/>
        </w:rPr>
        <w:t xml:space="preserve">,  </w:t>
      </w:r>
      <w:r w:rsidR="009307FF">
        <w:rPr>
          <w:sz w:val="28"/>
          <w:szCs w:val="28"/>
        </w:rPr>
        <w:t xml:space="preserve">Администрация  Юрлинского  муниципального  района  </w:t>
      </w:r>
      <w:r w:rsidR="009307FF" w:rsidRPr="00E9260D">
        <w:rPr>
          <w:sz w:val="28"/>
          <w:szCs w:val="28"/>
        </w:rPr>
        <w:t>ПОСТАНОВЛЯЕТ:</w:t>
      </w:r>
    </w:p>
    <w:p w:rsidR="009307FF" w:rsidRDefault="00E85EFB" w:rsidP="009307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07FF">
        <w:rPr>
          <w:sz w:val="28"/>
          <w:szCs w:val="28"/>
        </w:rPr>
        <w:t xml:space="preserve">Утвердить  </w:t>
      </w:r>
      <w:r w:rsidR="00941DC1">
        <w:rPr>
          <w:sz w:val="28"/>
          <w:szCs w:val="28"/>
        </w:rPr>
        <w:t>доклад  «Состояние  и  развитие  конкурентной  среды  на  рынках  товаров  и  услуг Юрлинского  муниципального района  Пермского  края</w:t>
      </w:r>
      <w:r w:rsidR="00B46A49">
        <w:rPr>
          <w:sz w:val="28"/>
          <w:szCs w:val="28"/>
        </w:rPr>
        <w:t xml:space="preserve">  за  2016 год» (приложение).</w:t>
      </w:r>
    </w:p>
    <w:p w:rsidR="00B46A49" w:rsidRDefault="00B46A49" w:rsidP="009307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 в  силу  со  дня  его  подписания.</w:t>
      </w:r>
    </w:p>
    <w:p w:rsidR="006578F1" w:rsidRDefault="00B46A49" w:rsidP="00CE6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400">
        <w:rPr>
          <w:sz w:val="28"/>
          <w:szCs w:val="28"/>
        </w:rPr>
        <w:t>.</w:t>
      </w:r>
      <w:r w:rsidR="006578F1">
        <w:rPr>
          <w:sz w:val="28"/>
          <w:szCs w:val="28"/>
        </w:rPr>
        <w:t xml:space="preserve"> </w:t>
      </w:r>
      <w:r w:rsidR="00CE6400">
        <w:rPr>
          <w:sz w:val="28"/>
          <w:szCs w:val="28"/>
        </w:rPr>
        <w:t xml:space="preserve">Настоящее  Постановление   </w:t>
      </w:r>
      <w:r>
        <w:rPr>
          <w:sz w:val="28"/>
          <w:szCs w:val="28"/>
        </w:rPr>
        <w:t xml:space="preserve">разместить  в  информационно-телекоммуникационной  сети  «Интернет» на  сайте  Администрации  Юрлинского  муниципального  района: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urla</w:t>
      </w:r>
      <w:r w:rsidRPr="00B46A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400">
        <w:rPr>
          <w:sz w:val="28"/>
          <w:szCs w:val="28"/>
        </w:rPr>
        <w:t xml:space="preserve"> </w:t>
      </w:r>
    </w:p>
    <w:p w:rsidR="009307FF" w:rsidRDefault="00BA067E" w:rsidP="009307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07FF">
        <w:rPr>
          <w:sz w:val="28"/>
          <w:szCs w:val="28"/>
        </w:rPr>
        <w:t xml:space="preserve">   Контроль  за  исполнением  настоящего  Постановления  возложить  на  заместителя  главы  Администрации  Юрлинского  муни</w:t>
      </w:r>
      <w:r w:rsidR="00E9260D">
        <w:rPr>
          <w:sz w:val="28"/>
          <w:szCs w:val="28"/>
        </w:rPr>
        <w:t>ципального  района  Н.А. Мелехину</w:t>
      </w:r>
      <w:r w:rsidR="009307FF">
        <w:rPr>
          <w:sz w:val="28"/>
          <w:szCs w:val="28"/>
        </w:rPr>
        <w:t xml:space="preserve">. </w:t>
      </w:r>
    </w:p>
    <w:p w:rsidR="009307FF" w:rsidRDefault="009307FF" w:rsidP="009307FF">
      <w:pPr>
        <w:ind w:firstLine="720"/>
        <w:jc w:val="both"/>
        <w:rPr>
          <w:sz w:val="28"/>
          <w:szCs w:val="28"/>
        </w:rPr>
      </w:pPr>
    </w:p>
    <w:p w:rsidR="009307FF" w:rsidRDefault="009307FF" w:rsidP="009307FF">
      <w:pPr>
        <w:ind w:firstLine="720"/>
        <w:jc w:val="both"/>
        <w:rPr>
          <w:sz w:val="28"/>
          <w:szCs w:val="28"/>
        </w:rPr>
      </w:pPr>
    </w:p>
    <w:p w:rsidR="009307FF" w:rsidRDefault="009307FF" w:rsidP="009307FF">
      <w:pPr>
        <w:ind w:firstLine="720"/>
        <w:jc w:val="both"/>
        <w:rPr>
          <w:sz w:val="28"/>
          <w:szCs w:val="28"/>
        </w:rPr>
      </w:pPr>
    </w:p>
    <w:p w:rsidR="009307FF" w:rsidRDefault="009307FF" w:rsidP="009307FF">
      <w:pPr>
        <w:jc w:val="both"/>
        <w:rPr>
          <w:sz w:val="28"/>
          <w:szCs w:val="28"/>
        </w:rPr>
      </w:pPr>
    </w:p>
    <w:p w:rsidR="009307FF" w:rsidRDefault="009307FF" w:rsidP="009307F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района-</w:t>
      </w:r>
    </w:p>
    <w:p w:rsidR="009307FF" w:rsidRDefault="00E9260D" w:rsidP="009307F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07FF">
        <w:rPr>
          <w:rFonts w:ascii="Times New Roman" w:hAnsi="Times New Roman"/>
          <w:sz w:val="28"/>
          <w:szCs w:val="28"/>
        </w:rPr>
        <w:t xml:space="preserve">лава   Администрации  района                                                 Т.М.Моисеева </w:t>
      </w:r>
    </w:p>
    <w:p w:rsidR="009307FF" w:rsidRDefault="009307FF" w:rsidP="009307FF">
      <w:pPr>
        <w:pStyle w:val="ab"/>
        <w:rPr>
          <w:rFonts w:ascii="Times New Roman" w:hAnsi="Times New Roman"/>
          <w:sz w:val="28"/>
          <w:szCs w:val="28"/>
        </w:rPr>
      </w:pPr>
    </w:p>
    <w:p w:rsidR="00C324DB" w:rsidRDefault="00C324DB" w:rsidP="00F62890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9307FF" w:rsidRDefault="009307FF" w:rsidP="00331A7F">
      <w:pPr>
        <w:tabs>
          <w:tab w:val="left" w:pos="7312"/>
        </w:tabs>
        <w:jc w:val="both"/>
        <w:rPr>
          <w:b/>
          <w:sz w:val="28"/>
          <w:szCs w:val="28"/>
        </w:rPr>
      </w:pPr>
    </w:p>
    <w:p w:rsidR="009307FF" w:rsidRDefault="009307FF" w:rsidP="00F62890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9307FF" w:rsidRDefault="009307FF" w:rsidP="00F62890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9307FF" w:rsidRDefault="009307FF" w:rsidP="00331A7F">
      <w:pPr>
        <w:tabs>
          <w:tab w:val="left" w:pos="9356"/>
        </w:tabs>
        <w:ind w:left="5670" w:right="-1"/>
        <w:rPr>
          <w:sz w:val="28"/>
          <w:szCs w:val="28"/>
        </w:rPr>
      </w:pPr>
    </w:p>
    <w:p w:rsidR="009307FF" w:rsidRDefault="009307FF" w:rsidP="00F62890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</w:p>
    <w:p w:rsidR="009307FF" w:rsidRDefault="009307FF" w:rsidP="00F62890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</w:p>
    <w:p w:rsidR="00584130" w:rsidRDefault="00584130" w:rsidP="00F62890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</w:p>
    <w:p w:rsidR="009307FF" w:rsidRDefault="009307FF" w:rsidP="00F62890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</w:p>
    <w:p w:rsidR="009307FF" w:rsidRDefault="00525D4A" w:rsidP="00F62890">
      <w:pPr>
        <w:tabs>
          <w:tab w:val="left" w:pos="9356"/>
        </w:tabs>
        <w:ind w:left="5670" w:right="-1"/>
        <w:jc w:val="right"/>
      </w:pPr>
      <w:r w:rsidRPr="002B1FC4">
        <w:lastRenderedPageBreak/>
        <w:t>Приложение</w:t>
      </w:r>
    </w:p>
    <w:p w:rsidR="00B51E43" w:rsidRDefault="00B51E43" w:rsidP="00B51E43">
      <w:pPr>
        <w:tabs>
          <w:tab w:val="left" w:pos="9356"/>
        </w:tabs>
        <w:ind w:right="-1"/>
        <w:jc w:val="right"/>
      </w:pPr>
      <w:r>
        <w:t>к  постановлению Администрации</w:t>
      </w:r>
    </w:p>
    <w:p w:rsidR="00B51E43" w:rsidRPr="002B1FC4" w:rsidRDefault="00B51E43" w:rsidP="00B51E43">
      <w:pPr>
        <w:tabs>
          <w:tab w:val="left" w:pos="9356"/>
        </w:tabs>
        <w:ind w:left="5670" w:right="-1"/>
      </w:pPr>
      <w:r>
        <w:t>Юрлинского муниципального района от 10 февраля 2017 г. № 56</w:t>
      </w:r>
    </w:p>
    <w:p w:rsidR="00525D4A" w:rsidRDefault="00525D4A" w:rsidP="00F62890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</w:p>
    <w:p w:rsidR="00584130" w:rsidRPr="002B1FC4" w:rsidRDefault="00584130" w:rsidP="00584130">
      <w:pPr>
        <w:jc w:val="center"/>
        <w:rPr>
          <w:b/>
        </w:rPr>
      </w:pPr>
      <w:r w:rsidRPr="002B1FC4">
        <w:rPr>
          <w:b/>
        </w:rPr>
        <w:t>Доклад</w:t>
      </w:r>
    </w:p>
    <w:p w:rsidR="00584130" w:rsidRPr="002B1FC4" w:rsidRDefault="00584130" w:rsidP="00584130">
      <w:pPr>
        <w:ind w:left="-709"/>
        <w:jc w:val="center"/>
        <w:rPr>
          <w:b/>
        </w:rPr>
      </w:pPr>
      <w:r w:rsidRPr="002B1FC4">
        <w:rPr>
          <w:b/>
        </w:rPr>
        <w:t>«Состояние  и  развитие  конкурентной  среды  на  рынках  товаров  и  услуг  Юрлинского  муниципального  района Пермского  края  за  2016  год»</w:t>
      </w:r>
    </w:p>
    <w:p w:rsidR="00584130" w:rsidRPr="002B1FC4" w:rsidRDefault="00584130" w:rsidP="00584130">
      <w:pPr>
        <w:ind w:left="-709"/>
        <w:jc w:val="center"/>
        <w:rPr>
          <w:b/>
        </w:rPr>
      </w:pPr>
    </w:p>
    <w:p w:rsidR="00584130" w:rsidRPr="00584130" w:rsidRDefault="00584130" w:rsidP="00584130">
      <w:pPr>
        <w:pStyle w:val="aa"/>
        <w:numPr>
          <w:ilvl w:val="0"/>
          <w:numId w:val="7"/>
        </w:numPr>
        <w:spacing w:after="200" w:line="276" w:lineRule="auto"/>
        <w:jc w:val="center"/>
        <w:rPr>
          <w:b/>
        </w:rPr>
      </w:pPr>
      <w:r w:rsidRPr="00584130">
        <w:rPr>
          <w:b/>
        </w:rPr>
        <w:t>Общая  информация</w:t>
      </w:r>
    </w:p>
    <w:p w:rsidR="00584130" w:rsidRPr="00584130" w:rsidRDefault="00584130" w:rsidP="00584130">
      <w:pPr>
        <w:pStyle w:val="aa"/>
        <w:ind w:left="-349"/>
        <w:jc w:val="both"/>
      </w:pPr>
      <w:r w:rsidRPr="00584130">
        <w:t xml:space="preserve">       </w:t>
      </w:r>
      <w:r w:rsidR="002B1FC4">
        <w:t xml:space="preserve">      </w:t>
      </w:r>
      <w:r w:rsidRPr="00584130">
        <w:t xml:space="preserve">Доклад  является  документом, формируемым  в  целях обеспечения  органов  местного  самоуправления  Пермского  края,  юридических  лиц,  индивидуальных  предпринимателей  и  граждан  РФ систематизированной  аналитической  информацией  о  состоянии  и  развитии  конкуренции  в  Пермском  крае. </w:t>
      </w:r>
    </w:p>
    <w:p w:rsidR="00584130" w:rsidRPr="00584130" w:rsidRDefault="00584130" w:rsidP="00584130">
      <w:pPr>
        <w:pStyle w:val="aa"/>
        <w:ind w:left="-349"/>
        <w:jc w:val="both"/>
      </w:pPr>
      <w:r w:rsidRPr="00584130">
        <w:t xml:space="preserve">        Основная  цель доклада  - формирование  прозрачной  </w:t>
      </w:r>
      <w:proofErr w:type="gramStart"/>
      <w:r w:rsidRPr="00584130">
        <w:t>системы  работы  исполнительных  органов  государственной  власти  Пермского  края</w:t>
      </w:r>
      <w:proofErr w:type="gramEnd"/>
      <w:r w:rsidRPr="00584130">
        <w:t xml:space="preserve"> в  части  реализации  результативных  и  эффективных  мер  по  развитию  конкуренции  в  интересах  конечного  потребителя  товаров  и  услуг,  субъектов  предпринимательской  деятельности, граждан  РФ  и  общества  в  целом.</w:t>
      </w:r>
    </w:p>
    <w:p w:rsidR="00584130" w:rsidRPr="00584130" w:rsidRDefault="00584130" w:rsidP="00584130">
      <w:pPr>
        <w:pStyle w:val="aa"/>
        <w:ind w:left="-349"/>
        <w:jc w:val="both"/>
      </w:pPr>
      <w:r w:rsidRPr="00584130">
        <w:t xml:space="preserve">        Основными  задачами  по  развитию  конкуренции  в  районе  являются:</w:t>
      </w:r>
    </w:p>
    <w:p w:rsidR="00584130" w:rsidRPr="00584130" w:rsidRDefault="00584130" w:rsidP="00584130">
      <w:pPr>
        <w:pStyle w:val="aa"/>
        <w:numPr>
          <w:ilvl w:val="0"/>
          <w:numId w:val="8"/>
        </w:numPr>
        <w:spacing w:after="200" w:line="276" w:lineRule="auto"/>
        <w:jc w:val="both"/>
      </w:pPr>
      <w:r w:rsidRPr="00584130">
        <w:t>Повышение  уровня  информированности  субъектов  предпринимательской  деятельности  и  потребителей  товаров  и  услуг  о  деятельности  органов  местного  самоуправления  по  содействию  развитию  конкуренции.</w:t>
      </w:r>
    </w:p>
    <w:p w:rsidR="00584130" w:rsidRPr="00584130" w:rsidRDefault="00584130" w:rsidP="00584130">
      <w:pPr>
        <w:pStyle w:val="aa"/>
        <w:numPr>
          <w:ilvl w:val="0"/>
          <w:numId w:val="8"/>
        </w:numPr>
        <w:spacing w:after="200" w:line="276" w:lineRule="auto"/>
        <w:jc w:val="both"/>
      </w:pPr>
      <w:r w:rsidRPr="00584130">
        <w:t xml:space="preserve">Повышение  конкурентоспособности субъектов  предпринимательской  деятельности.  </w:t>
      </w:r>
    </w:p>
    <w:p w:rsidR="00584130" w:rsidRPr="00584130" w:rsidRDefault="00584130" w:rsidP="00584130">
      <w:pPr>
        <w:pStyle w:val="aa"/>
        <w:numPr>
          <w:ilvl w:val="0"/>
          <w:numId w:val="8"/>
        </w:numPr>
        <w:spacing w:after="200" w:line="276" w:lineRule="auto"/>
        <w:jc w:val="both"/>
      </w:pPr>
      <w:r w:rsidRPr="00584130">
        <w:t>Снижение  административных  барьеров.</w:t>
      </w:r>
    </w:p>
    <w:p w:rsidR="00584130" w:rsidRPr="00584130" w:rsidRDefault="00584130" w:rsidP="00584130">
      <w:pPr>
        <w:jc w:val="both"/>
      </w:pPr>
      <w:r w:rsidRPr="00584130">
        <w:t xml:space="preserve">       Доклад  является  инструментом  для  оценки  достижения  поставленных  выше  целей  и  задач.</w:t>
      </w:r>
    </w:p>
    <w:p w:rsidR="00584130" w:rsidRPr="00584130" w:rsidRDefault="00584130" w:rsidP="00584130">
      <w:pPr>
        <w:jc w:val="both"/>
      </w:pPr>
      <w:proofErr w:type="gramStart"/>
      <w:r w:rsidRPr="00584130">
        <w:t>Доклад  разработан  в  соответствии  с  требованиями  Стандарта развития  конкуренции  в  субъектах  Российской  Федерации,  утвержденного распоряжением  правительства  РФ от 5 сентября  2015  года  № 1738-р, в  соответствии  с  Постановлением Администрации</w:t>
      </w:r>
      <w:r w:rsidR="00F96325">
        <w:t xml:space="preserve"> Юрлинского муниципального района </w:t>
      </w:r>
      <w:r w:rsidRPr="00584130">
        <w:t xml:space="preserve">  «Об  установлении  перечня  приоритетных и  социально  значимых  рынков  для  содействия  развитию  конкуренции  и  плана  мероприятий  («дорожной  карты») по  развитию  конкурентной  среды  на  территории  Юрл</w:t>
      </w:r>
      <w:r w:rsidR="00F96325">
        <w:t>инского  муниципального  района от 21.12.2016 года</w:t>
      </w:r>
      <w:proofErr w:type="gramEnd"/>
      <w:r w:rsidR="00F96325">
        <w:t xml:space="preserve">  № 383.</w:t>
      </w:r>
    </w:p>
    <w:p w:rsidR="00584130" w:rsidRPr="00584130" w:rsidRDefault="00584130" w:rsidP="00584130">
      <w:pPr>
        <w:jc w:val="both"/>
      </w:pPr>
      <w:r w:rsidRPr="00584130">
        <w:t xml:space="preserve">       В  докладе  приведен  анализ  состояния  конкурентной  среды  в  Юрлинском  муниципальном  районе по  итогам  2016  года, на  основе  статистических  и  ведомственных  данных.</w:t>
      </w:r>
    </w:p>
    <w:p w:rsidR="00584130" w:rsidRPr="00584130" w:rsidRDefault="00584130" w:rsidP="00584130">
      <w:pPr>
        <w:jc w:val="both"/>
      </w:pPr>
      <w:r w:rsidRPr="00584130">
        <w:t>Кроме  того в  докладе  отражены  основные  мероприятия,  проводимые  в  районе  по  развитию  конкуренции, их  итоги, в  том  числе  по  внедрению  Стандарта развития  конкуренции, реализации  плана  мероприятий  («дорожной  карты»).  В  докладе  выделены  основные  достижения  и  проблемы  по  развитию  конкуренции  в  Юрлинском  районе.</w:t>
      </w:r>
    </w:p>
    <w:p w:rsidR="00584130" w:rsidRPr="00584130" w:rsidRDefault="00584130" w:rsidP="00584130">
      <w:pPr>
        <w:jc w:val="both"/>
      </w:pPr>
    </w:p>
    <w:p w:rsidR="00584130" w:rsidRPr="00584130" w:rsidRDefault="00584130" w:rsidP="00584130">
      <w:pPr>
        <w:pStyle w:val="aa"/>
        <w:numPr>
          <w:ilvl w:val="0"/>
          <w:numId w:val="7"/>
        </w:numPr>
        <w:spacing w:after="200" w:line="276" w:lineRule="auto"/>
        <w:jc w:val="center"/>
        <w:rPr>
          <w:b/>
        </w:rPr>
      </w:pPr>
      <w:r w:rsidRPr="00584130">
        <w:rPr>
          <w:b/>
        </w:rPr>
        <w:t>Решение  губернатора  Пермского  края  о  внедрении  Стандарта развития  конкуренции  в  субъектах российской Федерации на  территории  Пермского края</w:t>
      </w:r>
    </w:p>
    <w:p w:rsidR="00584130" w:rsidRPr="00584130" w:rsidRDefault="00584130" w:rsidP="00584130">
      <w:pPr>
        <w:pStyle w:val="aa"/>
        <w:ind w:left="-349"/>
        <w:jc w:val="both"/>
      </w:pPr>
      <w:r w:rsidRPr="00584130">
        <w:t xml:space="preserve">         </w:t>
      </w:r>
      <w:r w:rsidR="002B1FC4">
        <w:t xml:space="preserve">   </w:t>
      </w:r>
      <w:r w:rsidRPr="00584130">
        <w:t>Внедрение  Стандарта  развития  конкуренции  в  субъектах  РФ (далее  Стандарт) на  территории  Юрлинского  муниципального  района  обеспечивается  решением  губернатора  Пермского  края  в  рамках  Указа  губернатора  Пермского  края  от 30.12.2014 № 224 «О внедрении  на  территории  Пермского края «Стандарта  развития конкуренции  в  субъектах  Российской  Федерации»</w:t>
      </w:r>
    </w:p>
    <w:p w:rsidR="00584130" w:rsidRPr="00584130" w:rsidRDefault="00584130" w:rsidP="00584130">
      <w:pPr>
        <w:pStyle w:val="aa"/>
        <w:ind w:left="-349"/>
        <w:jc w:val="both"/>
      </w:pPr>
      <w:r w:rsidRPr="00584130">
        <w:t xml:space="preserve">Реализация  Стандарта  на  территории  Юрлинского  муниципального  района  направлена  на  содействие  развитию  конкуренции  на  1  социально  значимом  и  1  приоритетном  </w:t>
      </w:r>
      <w:r w:rsidRPr="00584130">
        <w:lastRenderedPageBreak/>
        <w:t>рынке  района  в  интересах  потребителей  товаров, работ  и  услуг, а  также  субъектов  предпринимательской  деятельности  Юрлинского района.</w:t>
      </w:r>
    </w:p>
    <w:p w:rsidR="00584130" w:rsidRPr="00584130" w:rsidRDefault="00584130" w:rsidP="00584130">
      <w:pPr>
        <w:pStyle w:val="aa"/>
        <w:ind w:left="-349"/>
        <w:jc w:val="both"/>
      </w:pPr>
      <w:r w:rsidRPr="00584130">
        <w:t>Целями  развития  конкуренции  на  территории  Юрлинского  района  являются:</w:t>
      </w:r>
    </w:p>
    <w:p w:rsidR="00584130" w:rsidRPr="00584130" w:rsidRDefault="00584130" w:rsidP="00584130">
      <w:pPr>
        <w:pStyle w:val="aa"/>
        <w:numPr>
          <w:ilvl w:val="0"/>
          <w:numId w:val="9"/>
        </w:numPr>
        <w:spacing w:after="200" w:line="276" w:lineRule="auto"/>
        <w:jc w:val="both"/>
      </w:pPr>
      <w:r w:rsidRPr="00584130">
        <w:t>создание  благоприятных  условий  для  развития  конкуренции  в  приоритетных  и  социально  значимых  отраслях  экономики;</w:t>
      </w:r>
    </w:p>
    <w:p w:rsidR="00584130" w:rsidRPr="00584130" w:rsidRDefault="00584130" w:rsidP="00584130">
      <w:pPr>
        <w:pStyle w:val="aa"/>
        <w:numPr>
          <w:ilvl w:val="0"/>
          <w:numId w:val="9"/>
        </w:numPr>
        <w:spacing w:after="200" w:line="276" w:lineRule="auto"/>
        <w:jc w:val="both"/>
      </w:pPr>
      <w:r w:rsidRPr="00584130">
        <w:t>повышение  качества  оказания  услуг  в  сфере  торговли на  территории  Юрлинского  района;</w:t>
      </w:r>
    </w:p>
    <w:p w:rsidR="00584130" w:rsidRPr="00584130" w:rsidRDefault="00584130" w:rsidP="00584130">
      <w:pPr>
        <w:pStyle w:val="aa"/>
        <w:numPr>
          <w:ilvl w:val="0"/>
          <w:numId w:val="9"/>
        </w:numPr>
        <w:spacing w:after="200" w:line="276" w:lineRule="auto"/>
        <w:jc w:val="both"/>
      </w:pPr>
      <w:r w:rsidRPr="00584130">
        <w:t>рост  уровня  удовлетворенности  населения  Юрлинского  района качеством  предоставляемых  услуг  в  приоритетных  и  социально  значимых  отраслях  экономики;</w:t>
      </w:r>
    </w:p>
    <w:p w:rsidR="00584130" w:rsidRPr="00584130" w:rsidRDefault="00584130" w:rsidP="00584130">
      <w:pPr>
        <w:pStyle w:val="aa"/>
        <w:numPr>
          <w:ilvl w:val="0"/>
          <w:numId w:val="9"/>
        </w:numPr>
        <w:spacing w:after="200" w:line="276" w:lineRule="auto"/>
        <w:jc w:val="both"/>
      </w:pPr>
      <w:r w:rsidRPr="00584130">
        <w:t>повышение прозрачности  закупок  в  рамках  Федерального  закона от 5  апреля  2013 года № 44-ФЗ «О  контрактной  системе  в  сфере  закупок  товаров,  работ,  услуг  для  обеспечения  государственных  и  муниципальных  нужд».</w:t>
      </w:r>
    </w:p>
    <w:p w:rsidR="00584130" w:rsidRPr="00584130" w:rsidRDefault="00584130" w:rsidP="00584130">
      <w:pPr>
        <w:pStyle w:val="aa"/>
        <w:ind w:left="11"/>
        <w:jc w:val="both"/>
      </w:pPr>
    </w:p>
    <w:p w:rsidR="00584130" w:rsidRPr="00584130" w:rsidRDefault="00584130" w:rsidP="00584130">
      <w:pPr>
        <w:pStyle w:val="ab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584130">
        <w:rPr>
          <w:rFonts w:ascii="Times New Roman" w:hAnsi="Times New Roman"/>
          <w:b/>
          <w:sz w:val="24"/>
          <w:szCs w:val="24"/>
        </w:rPr>
        <w:t>Состояние  конкурентной  среды в  Юрлинском  района</w:t>
      </w:r>
    </w:p>
    <w:p w:rsidR="00584130" w:rsidRDefault="00584130" w:rsidP="002B1FC4">
      <w:pPr>
        <w:pStyle w:val="ab"/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584130">
        <w:rPr>
          <w:rFonts w:ascii="Times New Roman" w:hAnsi="Times New Roman"/>
          <w:b/>
          <w:sz w:val="24"/>
          <w:szCs w:val="24"/>
        </w:rPr>
        <w:t>Структурные  показатели  состояния  конкуренции в  Юрлинском  районе</w:t>
      </w:r>
    </w:p>
    <w:p w:rsidR="002B1FC4" w:rsidRPr="00584130" w:rsidRDefault="002B1FC4" w:rsidP="002B1FC4">
      <w:pPr>
        <w:pStyle w:val="ab"/>
        <w:ind w:left="2346"/>
        <w:rPr>
          <w:rFonts w:ascii="Times New Roman" w:hAnsi="Times New Roman"/>
          <w:b/>
          <w:sz w:val="24"/>
          <w:szCs w:val="24"/>
        </w:rPr>
      </w:pPr>
    </w:p>
    <w:p w:rsidR="00584130" w:rsidRPr="00584130" w:rsidRDefault="00584130" w:rsidP="00584130">
      <w:pPr>
        <w:pStyle w:val="aa"/>
        <w:ind w:left="11"/>
        <w:jc w:val="both"/>
      </w:pPr>
      <w:r w:rsidRPr="00584130">
        <w:t xml:space="preserve">          Одним  из  основных  показателей,  отражающих  состояние  конкурентной  среды,  является  динамика  числа  зарегистрированных  хозяйствующих  субъектов  в Юрлинском  районе. Согласно  данным  Территориального  органа  Федеральной  службы  государственной  статистики  по  Пермскому  краю (дале</w:t>
      </w:r>
      <w:proofErr w:type="gramStart"/>
      <w:r w:rsidRPr="00584130">
        <w:t>е-</w:t>
      </w:r>
      <w:proofErr w:type="gramEnd"/>
      <w:r w:rsidRPr="00584130">
        <w:t xml:space="preserve"> </w:t>
      </w:r>
      <w:proofErr w:type="spellStart"/>
      <w:r w:rsidRPr="00584130">
        <w:t>Пермьстат</w:t>
      </w:r>
      <w:proofErr w:type="spellEnd"/>
      <w:r w:rsidRPr="00584130">
        <w:t>), по  состоянию  на  1  января  2017 года в Юрлинском рай</w:t>
      </w:r>
      <w:r w:rsidR="00F96325">
        <w:t xml:space="preserve">оне зарегистрировано   </w:t>
      </w:r>
      <w:r w:rsidRPr="00584130">
        <w:t>юридических  лиц   84  и   149   индивидуальных  предпринимателей.</w:t>
      </w:r>
    </w:p>
    <w:p w:rsidR="00584130" w:rsidRPr="00584130" w:rsidRDefault="00584130" w:rsidP="00584130">
      <w:pPr>
        <w:pStyle w:val="aa"/>
        <w:ind w:left="11"/>
        <w:jc w:val="right"/>
      </w:pPr>
      <w:r w:rsidRPr="00584130">
        <w:t>Таблица 1.</w:t>
      </w:r>
    </w:p>
    <w:p w:rsidR="00584130" w:rsidRPr="00584130" w:rsidRDefault="00584130" w:rsidP="00584130">
      <w:pPr>
        <w:pStyle w:val="aa"/>
        <w:ind w:left="11"/>
        <w:jc w:val="center"/>
        <w:rPr>
          <w:b/>
        </w:rPr>
      </w:pPr>
      <w:r w:rsidRPr="00584130">
        <w:rPr>
          <w:b/>
        </w:rPr>
        <w:t>3.2  Распределение  хозяйствующих  субъектов  в  Юрлинском  районе на 01.01.</w:t>
      </w:r>
    </w:p>
    <w:p w:rsidR="00584130" w:rsidRPr="00584130" w:rsidRDefault="00584130" w:rsidP="00584130">
      <w:pPr>
        <w:pStyle w:val="aa"/>
        <w:ind w:left="11"/>
      </w:pPr>
    </w:p>
    <w:tbl>
      <w:tblPr>
        <w:tblStyle w:val="ac"/>
        <w:tblW w:w="0" w:type="auto"/>
        <w:tblInd w:w="11" w:type="dxa"/>
        <w:tblLook w:val="04A0"/>
      </w:tblPr>
      <w:tblGrid>
        <w:gridCol w:w="3074"/>
        <w:gridCol w:w="851"/>
        <w:gridCol w:w="850"/>
        <w:gridCol w:w="851"/>
        <w:gridCol w:w="850"/>
        <w:gridCol w:w="851"/>
        <w:gridCol w:w="992"/>
        <w:gridCol w:w="850"/>
      </w:tblGrid>
      <w:tr w:rsidR="00584130" w:rsidRPr="00584130" w:rsidTr="00626593">
        <w:tc>
          <w:tcPr>
            <w:tcW w:w="3074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Год</w:t>
            </w:r>
          </w:p>
          <w:p w:rsidR="00584130" w:rsidRPr="00584130" w:rsidRDefault="00584130" w:rsidP="00626593">
            <w:pPr>
              <w:pStyle w:val="aa"/>
              <w:ind w:left="0"/>
              <w:jc w:val="center"/>
            </w:pP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2011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2012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2013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2014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2015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2016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2017</w:t>
            </w:r>
          </w:p>
        </w:tc>
      </w:tr>
      <w:tr w:rsidR="00584130" w:rsidRPr="00584130" w:rsidTr="00626593">
        <w:tc>
          <w:tcPr>
            <w:tcW w:w="3074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всего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289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298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267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256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255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245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233</w:t>
            </w:r>
          </w:p>
        </w:tc>
      </w:tr>
      <w:tr w:rsidR="00584130" w:rsidRPr="00584130" w:rsidTr="00626593">
        <w:tc>
          <w:tcPr>
            <w:tcW w:w="3074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юридических  лиц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124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131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116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91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91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86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84</w:t>
            </w:r>
          </w:p>
        </w:tc>
      </w:tr>
      <w:tr w:rsidR="00584130" w:rsidRPr="00584130" w:rsidTr="00626593">
        <w:tc>
          <w:tcPr>
            <w:tcW w:w="3074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индивидуальных</w:t>
            </w:r>
          </w:p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предпринимателей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165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167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151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165</w:t>
            </w:r>
          </w:p>
        </w:tc>
        <w:tc>
          <w:tcPr>
            <w:tcW w:w="851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164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159</w:t>
            </w:r>
          </w:p>
        </w:tc>
        <w:tc>
          <w:tcPr>
            <w:tcW w:w="8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149</w:t>
            </w:r>
          </w:p>
        </w:tc>
      </w:tr>
    </w:tbl>
    <w:p w:rsidR="00584130" w:rsidRPr="00584130" w:rsidRDefault="00584130" w:rsidP="00584130">
      <w:pPr>
        <w:pStyle w:val="aa"/>
        <w:ind w:left="11"/>
      </w:pPr>
    </w:p>
    <w:p w:rsidR="00584130" w:rsidRPr="00584130" w:rsidRDefault="00584130" w:rsidP="00584130">
      <w:pPr>
        <w:pStyle w:val="aa"/>
        <w:ind w:left="11"/>
        <w:jc w:val="both"/>
      </w:pPr>
      <w:r w:rsidRPr="00584130">
        <w:t xml:space="preserve">    </w:t>
      </w:r>
      <w:r w:rsidR="002B1FC4">
        <w:t xml:space="preserve">      </w:t>
      </w:r>
      <w:r w:rsidRPr="00584130">
        <w:t xml:space="preserve"> </w:t>
      </w:r>
      <w:proofErr w:type="gramStart"/>
      <w:r w:rsidRPr="00584130">
        <w:t xml:space="preserve">За  рассматриваемый  период  наблюдается  снижение  хозяйствующих  субъектов  в районе, основными  причинами    являются  экономический  кризис в  стране  во  всех  его  проявлениях, повышенный  уровень  бедности населения,  высокий  уровень  безработицы,  алкоголизм  населения,  низкая  степень  переработки  сырья, отсутствие  денег у индивидуальных  предпринимателей на развитие, высокие  налоги,  отсутствие  квалифицированных  кадров,  в том  числе  рабочих  специальностей, низкая  платёжеспособность  населения. </w:t>
      </w:r>
      <w:proofErr w:type="gramEnd"/>
    </w:p>
    <w:p w:rsidR="00584130" w:rsidRPr="00584130" w:rsidRDefault="00584130" w:rsidP="00584130">
      <w:pPr>
        <w:pStyle w:val="aa"/>
        <w:ind w:left="11"/>
        <w:jc w:val="right"/>
      </w:pPr>
      <w:r w:rsidRPr="00584130">
        <w:t>Таблица 2.</w:t>
      </w:r>
    </w:p>
    <w:p w:rsidR="00584130" w:rsidRPr="00584130" w:rsidRDefault="00584130" w:rsidP="00584130">
      <w:pPr>
        <w:pStyle w:val="aa"/>
        <w:ind w:left="11"/>
        <w:jc w:val="right"/>
      </w:pPr>
    </w:p>
    <w:p w:rsidR="00584130" w:rsidRPr="00584130" w:rsidRDefault="00584130" w:rsidP="00584130">
      <w:pPr>
        <w:pStyle w:val="aa"/>
        <w:ind w:left="11"/>
        <w:jc w:val="center"/>
        <w:rPr>
          <w:b/>
        </w:rPr>
      </w:pPr>
      <w:r w:rsidRPr="00584130">
        <w:rPr>
          <w:b/>
        </w:rPr>
        <w:t>3.3  Численность ИП, КФХ, ООО  по  видам  экономической деятельности, на 01.01.</w:t>
      </w:r>
    </w:p>
    <w:p w:rsidR="00584130" w:rsidRPr="00584130" w:rsidRDefault="00584130" w:rsidP="00584130">
      <w:pPr>
        <w:pStyle w:val="aa"/>
        <w:ind w:left="11"/>
        <w:jc w:val="center"/>
        <w:rPr>
          <w:b/>
        </w:rPr>
      </w:pPr>
    </w:p>
    <w:tbl>
      <w:tblPr>
        <w:tblStyle w:val="ac"/>
        <w:tblW w:w="0" w:type="auto"/>
        <w:tblInd w:w="11" w:type="dxa"/>
        <w:tblLook w:val="04A0"/>
      </w:tblPr>
      <w:tblGrid>
        <w:gridCol w:w="4350"/>
        <w:gridCol w:w="992"/>
        <w:gridCol w:w="1134"/>
        <w:gridCol w:w="1134"/>
        <w:gridCol w:w="1134"/>
      </w:tblGrid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Наименование</w:t>
            </w:r>
          </w:p>
          <w:p w:rsidR="00584130" w:rsidRPr="00584130" w:rsidRDefault="00584130" w:rsidP="00626593">
            <w:pPr>
              <w:pStyle w:val="aa"/>
              <w:ind w:left="0"/>
            </w:pP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2015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2016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2017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%  2017 к  2016 году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proofErr w:type="gramStart"/>
            <w:r w:rsidRPr="00584130">
              <w:t>Занятых</w:t>
            </w:r>
            <w:proofErr w:type="gramEnd"/>
            <w:r w:rsidRPr="00584130">
              <w:t xml:space="preserve">  в  лесной отрасли, ед.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40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43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33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77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proofErr w:type="gramStart"/>
            <w:r w:rsidRPr="00584130">
              <w:t>Занятых</w:t>
            </w:r>
            <w:proofErr w:type="gramEnd"/>
            <w:r w:rsidRPr="00584130">
              <w:t xml:space="preserve">  в  сельском  хозяйстве, ед.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17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18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22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122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proofErr w:type="gramStart"/>
            <w:r w:rsidRPr="00584130">
              <w:t>Занятых</w:t>
            </w:r>
            <w:proofErr w:type="gramEnd"/>
            <w:r w:rsidRPr="00584130">
              <w:t xml:space="preserve">  в торговле, ед.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77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54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68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126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proofErr w:type="gramStart"/>
            <w:r w:rsidRPr="00584130">
              <w:t>Занятых</w:t>
            </w:r>
            <w:proofErr w:type="gramEnd"/>
            <w:r w:rsidRPr="00584130">
              <w:t xml:space="preserve">  в  дорожном   строительстве, ед.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100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Занятых  в  сфере  услуг, ед.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25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25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21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84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lastRenderedPageBreak/>
              <w:t>Прочие  виды   услуг, ед.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38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56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38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68</w:t>
            </w:r>
          </w:p>
        </w:tc>
      </w:tr>
      <w:tr w:rsidR="00584130" w:rsidRPr="00584130" w:rsidTr="00626593">
        <w:tc>
          <w:tcPr>
            <w:tcW w:w="435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Всего  по району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199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198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184</w:t>
            </w:r>
          </w:p>
        </w:tc>
        <w:tc>
          <w:tcPr>
            <w:tcW w:w="113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93</w:t>
            </w:r>
          </w:p>
        </w:tc>
      </w:tr>
    </w:tbl>
    <w:p w:rsidR="00584130" w:rsidRPr="00584130" w:rsidRDefault="00584130" w:rsidP="00584130">
      <w:pPr>
        <w:pStyle w:val="aa"/>
        <w:ind w:left="11"/>
        <w:jc w:val="center"/>
      </w:pPr>
    </w:p>
    <w:p w:rsidR="00584130" w:rsidRPr="00584130" w:rsidRDefault="00584130" w:rsidP="00584130">
      <w:pPr>
        <w:jc w:val="both"/>
      </w:pPr>
      <w:r w:rsidRPr="00584130">
        <w:t xml:space="preserve">      </w:t>
      </w:r>
      <w:r w:rsidR="002B1FC4">
        <w:t xml:space="preserve">    </w:t>
      </w:r>
      <w:r w:rsidRPr="00584130">
        <w:t>Одним  из  приоритетных  и  социально  значимых  рынков  для  содействия  развитию  конкуренции  в  Юрлинском  муниципальном  районе  является  рынок  государственных  закупок. Основанием  для  включения: реализация  пункта 7.2 Плана  мероприятий  Правительства Пермского края  на  2016  год  по  решению  проблемных  вопросов, отражённых в  ежегодном  докладе  Уполномоченного  по  защите прав  предпринимателей  в  Пермском  крае  за  2015 год,  утверждённого  распоряжением  Правительства  Пермского  края № 161-рп от 09 июня 2016 года.</w:t>
      </w:r>
    </w:p>
    <w:p w:rsidR="00584130" w:rsidRDefault="00584130" w:rsidP="00584130">
      <w:pPr>
        <w:pStyle w:val="aa"/>
        <w:numPr>
          <w:ilvl w:val="0"/>
          <w:numId w:val="7"/>
        </w:numPr>
        <w:jc w:val="center"/>
        <w:rPr>
          <w:b/>
        </w:rPr>
      </w:pPr>
      <w:r w:rsidRPr="00584130">
        <w:rPr>
          <w:b/>
        </w:rPr>
        <w:t>Рынок  государственных  закупок</w:t>
      </w:r>
    </w:p>
    <w:p w:rsidR="00584130" w:rsidRPr="00584130" w:rsidRDefault="00584130" w:rsidP="00B51E43">
      <w:pPr>
        <w:pStyle w:val="aa"/>
        <w:ind w:left="1353"/>
        <w:rPr>
          <w:b/>
        </w:rPr>
      </w:pPr>
    </w:p>
    <w:p w:rsidR="00584130" w:rsidRPr="00584130" w:rsidRDefault="002B1FC4" w:rsidP="00584130">
      <w:pPr>
        <w:pStyle w:val="aa"/>
        <w:ind w:left="11"/>
        <w:jc w:val="both"/>
      </w:pPr>
      <w:r>
        <w:t xml:space="preserve">          </w:t>
      </w:r>
      <w:proofErr w:type="gramStart"/>
      <w:r w:rsidR="00584130" w:rsidRPr="00584130">
        <w:t>Обоснованием  включения  рынка  государственных  закупок  и  перечень  приоритетных  и  социально  значимых  рынков  является  поддержка  стабильных  показателей  закупок  у  субъектов  малого  предпринимательства  и социально  ориентированных  некоммерческих  организаций  с  целью  защиты  их  прав  и  интересов,  предоставления  им  доступа  к  возможности  выполнения  работ  и  оказания   услуг  для  государственных  и  муниципальных  нужд  на  условиях, равных  с  иными  участниками  рынка.</w:t>
      </w:r>
      <w:proofErr w:type="gramEnd"/>
    </w:p>
    <w:p w:rsidR="00584130" w:rsidRPr="00584130" w:rsidRDefault="00584130" w:rsidP="00584130">
      <w:pPr>
        <w:pStyle w:val="aa"/>
        <w:ind w:left="11"/>
        <w:jc w:val="both"/>
      </w:pPr>
      <w:r w:rsidRPr="00584130">
        <w:t>Письмо  Министерства  по  регулированию  контрактной  системы  в  сфере  закупок  Пермского  края от 06.02.2016 № СЭД-32-03-02-05-30 «О  реализации  Плана  мероприятий «дорожной карты»</w:t>
      </w:r>
    </w:p>
    <w:p w:rsidR="00584130" w:rsidRPr="00584130" w:rsidRDefault="00584130" w:rsidP="00584130">
      <w:pPr>
        <w:pStyle w:val="aa"/>
        <w:ind w:left="11"/>
        <w:jc w:val="right"/>
      </w:pPr>
      <w:r w:rsidRPr="00584130">
        <w:t>Таблица 3.</w:t>
      </w:r>
    </w:p>
    <w:p w:rsidR="00584130" w:rsidRPr="00584130" w:rsidRDefault="00584130" w:rsidP="00584130">
      <w:pPr>
        <w:pStyle w:val="aa"/>
        <w:ind w:left="11"/>
      </w:pPr>
    </w:p>
    <w:tbl>
      <w:tblPr>
        <w:tblStyle w:val="ac"/>
        <w:tblW w:w="9736" w:type="dxa"/>
        <w:tblInd w:w="11" w:type="dxa"/>
        <w:tblLayout w:type="fixed"/>
        <w:tblLook w:val="04A0"/>
      </w:tblPr>
      <w:tblGrid>
        <w:gridCol w:w="664"/>
        <w:gridCol w:w="3942"/>
        <w:gridCol w:w="652"/>
        <w:gridCol w:w="935"/>
        <w:gridCol w:w="925"/>
        <w:gridCol w:w="860"/>
        <w:gridCol w:w="860"/>
        <w:gridCol w:w="898"/>
      </w:tblGrid>
      <w:tr w:rsidR="00584130" w:rsidRPr="00584130" w:rsidTr="002B1FC4">
        <w:tc>
          <w:tcPr>
            <w:tcW w:w="66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№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п/п</w:t>
            </w:r>
          </w:p>
        </w:tc>
        <w:tc>
          <w:tcPr>
            <w:tcW w:w="394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Наименование  показателя</w:t>
            </w:r>
          </w:p>
        </w:tc>
        <w:tc>
          <w:tcPr>
            <w:tcW w:w="65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Ед.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изм.</w:t>
            </w:r>
          </w:p>
        </w:tc>
        <w:tc>
          <w:tcPr>
            <w:tcW w:w="935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2015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(факт)</w:t>
            </w:r>
          </w:p>
        </w:tc>
        <w:tc>
          <w:tcPr>
            <w:tcW w:w="925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2016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(план)</w:t>
            </w:r>
          </w:p>
        </w:tc>
        <w:tc>
          <w:tcPr>
            <w:tcW w:w="86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2016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(факт)</w:t>
            </w:r>
          </w:p>
        </w:tc>
        <w:tc>
          <w:tcPr>
            <w:tcW w:w="86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2017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(план)</w:t>
            </w:r>
          </w:p>
        </w:tc>
        <w:tc>
          <w:tcPr>
            <w:tcW w:w="898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2018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(план)</w:t>
            </w:r>
          </w:p>
        </w:tc>
      </w:tr>
      <w:tr w:rsidR="00584130" w:rsidRPr="00584130" w:rsidTr="002B1FC4">
        <w:trPr>
          <w:trHeight w:val="2302"/>
        </w:trPr>
        <w:tc>
          <w:tcPr>
            <w:tcW w:w="66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1.</w:t>
            </w:r>
          </w:p>
        </w:tc>
        <w:tc>
          <w:tcPr>
            <w:tcW w:w="394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 xml:space="preserve">Осуществление закупок  у  субъектов  малого  предпринимательства  путём  проведения  открытых  </w:t>
            </w:r>
            <w:proofErr w:type="spellStart"/>
            <w:r w:rsidRPr="00584130">
              <w:t>конкурсов</w:t>
            </w:r>
            <w:proofErr w:type="gramStart"/>
            <w:r w:rsidRPr="00584130">
              <w:t>,к</w:t>
            </w:r>
            <w:proofErr w:type="gramEnd"/>
            <w:r w:rsidRPr="00584130">
              <w:t>онкурсов</w:t>
            </w:r>
            <w:proofErr w:type="spellEnd"/>
            <w:r w:rsidRPr="00584130">
              <w:t xml:space="preserve">  с  ограниченным  участием, двухэтапных  конкурсов, электронных  аукционов, запросов  </w:t>
            </w:r>
            <w:proofErr w:type="spellStart"/>
            <w:r w:rsidRPr="00584130">
              <w:t>котировок,запросов</w:t>
            </w:r>
            <w:proofErr w:type="spellEnd"/>
            <w:r w:rsidRPr="00584130">
              <w:t xml:space="preserve"> предложений</w:t>
            </w:r>
          </w:p>
        </w:tc>
        <w:tc>
          <w:tcPr>
            <w:tcW w:w="652" w:type="dxa"/>
          </w:tcPr>
          <w:p w:rsidR="00584130" w:rsidRPr="00584130" w:rsidRDefault="00584130" w:rsidP="00626593">
            <w:pPr>
              <w:pStyle w:val="aa"/>
              <w:ind w:left="0"/>
              <w:jc w:val="center"/>
            </w:pPr>
            <w:r w:rsidRPr="00584130">
              <w:t>%</w:t>
            </w:r>
          </w:p>
        </w:tc>
        <w:tc>
          <w:tcPr>
            <w:tcW w:w="935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40</w:t>
            </w:r>
          </w:p>
        </w:tc>
        <w:tc>
          <w:tcPr>
            <w:tcW w:w="925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не менее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15</w:t>
            </w:r>
          </w:p>
        </w:tc>
        <w:tc>
          <w:tcPr>
            <w:tcW w:w="860" w:type="dxa"/>
          </w:tcPr>
          <w:p w:rsidR="00584130" w:rsidRPr="00584130" w:rsidRDefault="00584130" w:rsidP="00626593">
            <w:pPr>
              <w:pStyle w:val="aa"/>
              <w:ind w:left="0"/>
            </w:pPr>
          </w:p>
        </w:tc>
        <w:tc>
          <w:tcPr>
            <w:tcW w:w="860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не менее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15</w:t>
            </w:r>
          </w:p>
        </w:tc>
        <w:tc>
          <w:tcPr>
            <w:tcW w:w="898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не менее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15</w:t>
            </w:r>
          </w:p>
        </w:tc>
      </w:tr>
    </w:tbl>
    <w:p w:rsidR="00584130" w:rsidRPr="00584130" w:rsidRDefault="00584130" w:rsidP="00584130">
      <w:pPr>
        <w:pStyle w:val="aa"/>
        <w:ind w:left="11"/>
      </w:pPr>
    </w:p>
    <w:p w:rsidR="00584130" w:rsidRPr="00584130" w:rsidRDefault="00584130" w:rsidP="00584130">
      <w:pPr>
        <w:pStyle w:val="aa"/>
        <w:numPr>
          <w:ilvl w:val="0"/>
          <w:numId w:val="9"/>
        </w:numPr>
        <w:jc w:val="center"/>
        <w:rPr>
          <w:b/>
        </w:rPr>
      </w:pPr>
      <w:r w:rsidRPr="00584130">
        <w:rPr>
          <w:b/>
        </w:rPr>
        <w:t>Рынок  розничной  торговли</w:t>
      </w:r>
    </w:p>
    <w:p w:rsidR="00584130" w:rsidRPr="00584130" w:rsidRDefault="00584130" w:rsidP="00584130">
      <w:pPr>
        <w:pStyle w:val="aa"/>
        <w:ind w:left="1353"/>
        <w:rPr>
          <w:b/>
        </w:rPr>
      </w:pPr>
    </w:p>
    <w:p w:rsidR="00584130" w:rsidRPr="00584130" w:rsidRDefault="002B1FC4" w:rsidP="00584130">
      <w:pPr>
        <w:pStyle w:val="aa"/>
        <w:ind w:left="11"/>
        <w:jc w:val="both"/>
      </w:pPr>
      <w:r>
        <w:t xml:space="preserve">          </w:t>
      </w:r>
      <w:r w:rsidR="00584130" w:rsidRPr="00584130">
        <w:t xml:space="preserve">Основанием  для  включения: необходимость  создания  условий  для  расширения  количества  участников  на  данном  рынке  для  наиболее  полного  удовлетворения  нужд  и  потребностей  жителей. Настала пора  для  возрождения  народных  традиций,  промыслов. В  предреволюционный  период  Юрла  была  значительным  торговым  центром, особенно  велики  здесь  были  хлебные  базары, ежегодные  конские  ярмарки. Юрла  занимала и  занимает выгодное  территориально-географическое  положение. На  эти  ярмарки  приезжало  большое  количество  торговцев из Вятки, Перми, Ильинского. Ставшая  традиционной  Юрлинская  сельскохозяйственная ярмарка  позволяла  населению  реализовать  свою  продукцию. Из  городов  приезжали  за  грибами  и  ягодами, картошкой  и  мясом, домоткаными  половиками и корзинами. </w:t>
      </w:r>
      <w:proofErr w:type="gramStart"/>
      <w:r w:rsidR="00584130" w:rsidRPr="00584130">
        <w:t>Начиная  с  2011 года Юрлинский  район  возрождает</w:t>
      </w:r>
      <w:proofErr w:type="gramEnd"/>
      <w:r w:rsidR="00584130" w:rsidRPr="00584130">
        <w:t xml:space="preserve">  данную  традицию, количество  участников  межмуниципальных ярмарок ежегодно  растает, заявляются  не  только  местные  производители,  производители из  соседних  районов  Коми-Пермяцкого округа, но и всего  Пермского края - Очёр, Нытва, </w:t>
      </w:r>
      <w:proofErr w:type="spellStart"/>
      <w:r w:rsidR="00584130" w:rsidRPr="00584130">
        <w:t>Верешагино</w:t>
      </w:r>
      <w:proofErr w:type="spellEnd"/>
      <w:r w:rsidR="00584130" w:rsidRPr="00584130">
        <w:t xml:space="preserve">, Лысьва, Оханск, </w:t>
      </w:r>
      <w:proofErr w:type="spellStart"/>
      <w:r w:rsidR="00584130" w:rsidRPr="00584130">
        <w:t>Уинск</w:t>
      </w:r>
      <w:proofErr w:type="spellEnd"/>
      <w:r w:rsidR="00584130" w:rsidRPr="00584130">
        <w:t xml:space="preserve">, Башкирия, Свердловская область  и  другие.  </w:t>
      </w:r>
    </w:p>
    <w:p w:rsidR="00584130" w:rsidRPr="00584130" w:rsidRDefault="00584130" w:rsidP="00584130">
      <w:pPr>
        <w:pStyle w:val="aa"/>
        <w:ind w:left="11"/>
        <w:jc w:val="both"/>
      </w:pPr>
      <w:r w:rsidRPr="00584130">
        <w:lastRenderedPageBreak/>
        <w:t xml:space="preserve">Одной из  главных задач является  насыщение  рынка  продовольствия  продукцией  местных  производителей, возможность реализации  излишек сельскохозяйственной  продукции  населением нашего  района, но и других районов края.  </w:t>
      </w:r>
      <w:proofErr w:type="gramStart"/>
      <w:r w:rsidRPr="00584130">
        <w:t>На  весенней  и  осенней  ярмарках   спросом  пользуются – саженцы, рассада, лук, мясо, мёд, зерно, куры, поросята, кролики, садовый  инвентарь, грибы, ягоды, работы мастеров народного прикладного и художественного  творчества.</w:t>
      </w:r>
      <w:proofErr w:type="gramEnd"/>
      <w:r w:rsidRPr="00584130">
        <w:t xml:space="preserve"> Данные  сельскохозяйственные ярмарки  способствуют  укреплению  межведомственных  и  межмуниципальных  связей, повышению  инвестиционной  привлекательности  Юрлинского  муниципального района.</w:t>
      </w:r>
    </w:p>
    <w:p w:rsidR="00584130" w:rsidRPr="00584130" w:rsidRDefault="00584130" w:rsidP="00584130">
      <w:pPr>
        <w:pStyle w:val="aa"/>
        <w:ind w:left="11"/>
      </w:pPr>
    </w:p>
    <w:p w:rsidR="00584130" w:rsidRPr="00584130" w:rsidRDefault="00584130" w:rsidP="00584130">
      <w:pPr>
        <w:pStyle w:val="aa"/>
        <w:ind w:left="11"/>
        <w:jc w:val="right"/>
      </w:pPr>
      <w:r w:rsidRPr="00584130">
        <w:t>Таблица 4.</w:t>
      </w:r>
    </w:p>
    <w:tbl>
      <w:tblPr>
        <w:tblStyle w:val="ac"/>
        <w:tblW w:w="9736" w:type="dxa"/>
        <w:tblInd w:w="11" w:type="dxa"/>
        <w:tblLayout w:type="fixed"/>
        <w:tblLook w:val="04A0"/>
      </w:tblPr>
      <w:tblGrid>
        <w:gridCol w:w="664"/>
        <w:gridCol w:w="3686"/>
        <w:gridCol w:w="567"/>
        <w:gridCol w:w="992"/>
        <w:gridCol w:w="992"/>
        <w:gridCol w:w="993"/>
        <w:gridCol w:w="944"/>
        <w:gridCol w:w="898"/>
      </w:tblGrid>
      <w:tr w:rsidR="00584130" w:rsidRPr="00584130" w:rsidTr="002B1FC4">
        <w:tc>
          <w:tcPr>
            <w:tcW w:w="66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№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п/п</w:t>
            </w:r>
          </w:p>
        </w:tc>
        <w:tc>
          <w:tcPr>
            <w:tcW w:w="3686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Наименование  показателя</w:t>
            </w:r>
          </w:p>
        </w:tc>
        <w:tc>
          <w:tcPr>
            <w:tcW w:w="567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Ед.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изм.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2015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(факт)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2016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(план)</w:t>
            </w:r>
          </w:p>
        </w:tc>
        <w:tc>
          <w:tcPr>
            <w:tcW w:w="993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2016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(факт)</w:t>
            </w:r>
          </w:p>
        </w:tc>
        <w:tc>
          <w:tcPr>
            <w:tcW w:w="94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2017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(план)</w:t>
            </w:r>
          </w:p>
        </w:tc>
        <w:tc>
          <w:tcPr>
            <w:tcW w:w="898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2018</w:t>
            </w:r>
          </w:p>
          <w:p w:rsidR="00584130" w:rsidRPr="00584130" w:rsidRDefault="00584130" w:rsidP="00626593">
            <w:pPr>
              <w:pStyle w:val="aa"/>
              <w:ind w:left="0"/>
            </w:pPr>
            <w:r w:rsidRPr="00584130">
              <w:t>(план)</w:t>
            </w:r>
          </w:p>
        </w:tc>
      </w:tr>
      <w:tr w:rsidR="00584130" w:rsidRPr="00584130" w:rsidTr="002B1FC4">
        <w:trPr>
          <w:trHeight w:val="1378"/>
        </w:trPr>
        <w:tc>
          <w:tcPr>
            <w:tcW w:w="66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1.</w:t>
            </w:r>
          </w:p>
        </w:tc>
        <w:tc>
          <w:tcPr>
            <w:tcW w:w="3686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Количество сельскохозяйственных  производителей, принимавших участие в  сельскохозяйственных ярмарках</w:t>
            </w:r>
          </w:p>
        </w:tc>
        <w:tc>
          <w:tcPr>
            <w:tcW w:w="567" w:type="dxa"/>
          </w:tcPr>
          <w:p w:rsidR="00584130" w:rsidRPr="00584130" w:rsidRDefault="002B1FC4" w:rsidP="00626593">
            <w:pPr>
              <w:pStyle w:val="aa"/>
              <w:ind w:left="0"/>
            </w:pPr>
            <w:r>
              <w:t>е</w:t>
            </w:r>
            <w:r w:rsidR="00584130" w:rsidRPr="00584130">
              <w:t>д.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86</w:t>
            </w:r>
          </w:p>
        </w:tc>
        <w:tc>
          <w:tcPr>
            <w:tcW w:w="992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90</w:t>
            </w:r>
          </w:p>
        </w:tc>
        <w:tc>
          <w:tcPr>
            <w:tcW w:w="993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96</w:t>
            </w:r>
          </w:p>
        </w:tc>
        <w:tc>
          <w:tcPr>
            <w:tcW w:w="944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94</w:t>
            </w:r>
          </w:p>
        </w:tc>
        <w:tc>
          <w:tcPr>
            <w:tcW w:w="898" w:type="dxa"/>
          </w:tcPr>
          <w:p w:rsidR="00584130" w:rsidRPr="00584130" w:rsidRDefault="00584130" w:rsidP="00626593">
            <w:pPr>
              <w:pStyle w:val="aa"/>
              <w:ind w:left="0"/>
            </w:pPr>
            <w:r w:rsidRPr="00584130">
              <w:t>96</w:t>
            </w:r>
          </w:p>
        </w:tc>
      </w:tr>
    </w:tbl>
    <w:p w:rsidR="00584130" w:rsidRPr="00584130" w:rsidRDefault="00584130" w:rsidP="00584130">
      <w:pPr>
        <w:pStyle w:val="aa"/>
        <w:ind w:left="11"/>
        <w:rPr>
          <w:b/>
        </w:rPr>
      </w:pPr>
    </w:p>
    <w:p w:rsidR="009307FF" w:rsidRDefault="009307FF" w:rsidP="00F62890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</w:p>
    <w:sectPr w:rsidR="009307FF" w:rsidSect="009567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CA" w:rsidRDefault="001068CA" w:rsidP="001459C4">
      <w:r>
        <w:separator/>
      </w:r>
    </w:p>
  </w:endnote>
  <w:endnote w:type="continuationSeparator" w:id="0">
    <w:p w:rsidR="001068CA" w:rsidRDefault="001068CA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CA" w:rsidRDefault="001068CA" w:rsidP="001459C4">
      <w:r>
        <w:separator/>
      </w:r>
    </w:p>
  </w:footnote>
  <w:footnote w:type="continuationSeparator" w:id="0">
    <w:p w:rsidR="001068CA" w:rsidRDefault="001068CA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A85"/>
    <w:multiLevelType w:val="hybridMultilevel"/>
    <w:tmpl w:val="0E7C2304"/>
    <w:lvl w:ilvl="0" w:tplc="48D8E0D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08C42F4"/>
    <w:multiLevelType w:val="hybridMultilevel"/>
    <w:tmpl w:val="428EB42E"/>
    <w:lvl w:ilvl="0" w:tplc="7C9867D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A43BF"/>
    <w:multiLevelType w:val="hybridMultilevel"/>
    <w:tmpl w:val="6570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DD3"/>
    <w:multiLevelType w:val="multilevel"/>
    <w:tmpl w:val="A1129E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4753"/>
    <w:rsid w:val="00005DE0"/>
    <w:rsid w:val="00006359"/>
    <w:rsid w:val="0001674C"/>
    <w:rsid w:val="000207AF"/>
    <w:rsid w:val="00022CFB"/>
    <w:rsid w:val="0004241B"/>
    <w:rsid w:val="00066CA3"/>
    <w:rsid w:val="000675A5"/>
    <w:rsid w:val="00077CB8"/>
    <w:rsid w:val="000A1375"/>
    <w:rsid w:val="000A7922"/>
    <w:rsid w:val="000C5692"/>
    <w:rsid w:val="000D238A"/>
    <w:rsid w:val="000E178B"/>
    <w:rsid w:val="00102B29"/>
    <w:rsid w:val="001068CA"/>
    <w:rsid w:val="0011144F"/>
    <w:rsid w:val="00116D4A"/>
    <w:rsid w:val="00123ABC"/>
    <w:rsid w:val="00123D82"/>
    <w:rsid w:val="001459C4"/>
    <w:rsid w:val="00146850"/>
    <w:rsid w:val="00153566"/>
    <w:rsid w:val="0015558F"/>
    <w:rsid w:val="00162DE6"/>
    <w:rsid w:val="0016770C"/>
    <w:rsid w:val="0017099C"/>
    <w:rsid w:val="00171AD1"/>
    <w:rsid w:val="00186C46"/>
    <w:rsid w:val="00187138"/>
    <w:rsid w:val="001B78A8"/>
    <w:rsid w:val="001D3143"/>
    <w:rsid w:val="001E361D"/>
    <w:rsid w:val="001E6E79"/>
    <w:rsid w:val="001F214A"/>
    <w:rsid w:val="001F743A"/>
    <w:rsid w:val="002056C4"/>
    <w:rsid w:val="00205A26"/>
    <w:rsid w:val="00223520"/>
    <w:rsid w:val="00253E65"/>
    <w:rsid w:val="002644EE"/>
    <w:rsid w:val="0027627C"/>
    <w:rsid w:val="00286534"/>
    <w:rsid w:val="00291110"/>
    <w:rsid w:val="00293BDB"/>
    <w:rsid w:val="00297A27"/>
    <w:rsid w:val="002B1FC4"/>
    <w:rsid w:val="002C6034"/>
    <w:rsid w:val="002E0904"/>
    <w:rsid w:val="002E5496"/>
    <w:rsid w:val="002E6429"/>
    <w:rsid w:val="003044F7"/>
    <w:rsid w:val="00314013"/>
    <w:rsid w:val="00316925"/>
    <w:rsid w:val="00331A7F"/>
    <w:rsid w:val="00353064"/>
    <w:rsid w:val="0036488D"/>
    <w:rsid w:val="0037504F"/>
    <w:rsid w:val="003750D7"/>
    <w:rsid w:val="00391ECA"/>
    <w:rsid w:val="003E7532"/>
    <w:rsid w:val="003F0A3B"/>
    <w:rsid w:val="003F1E3C"/>
    <w:rsid w:val="003F3D1A"/>
    <w:rsid w:val="003F3DFF"/>
    <w:rsid w:val="003F5F53"/>
    <w:rsid w:val="003F6A1A"/>
    <w:rsid w:val="004155A5"/>
    <w:rsid w:val="00416DF9"/>
    <w:rsid w:val="00423448"/>
    <w:rsid w:val="004268C5"/>
    <w:rsid w:val="00462756"/>
    <w:rsid w:val="00497404"/>
    <w:rsid w:val="00497914"/>
    <w:rsid w:val="004C769E"/>
    <w:rsid w:val="004D3E59"/>
    <w:rsid w:val="004D5141"/>
    <w:rsid w:val="005032F3"/>
    <w:rsid w:val="00513A0F"/>
    <w:rsid w:val="00525D4A"/>
    <w:rsid w:val="00547E6E"/>
    <w:rsid w:val="00567311"/>
    <w:rsid w:val="00571752"/>
    <w:rsid w:val="00584130"/>
    <w:rsid w:val="00586A2A"/>
    <w:rsid w:val="00595E5F"/>
    <w:rsid w:val="005D3BA3"/>
    <w:rsid w:val="005D56F9"/>
    <w:rsid w:val="005E2C7C"/>
    <w:rsid w:val="005F5666"/>
    <w:rsid w:val="005F6CDE"/>
    <w:rsid w:val="00614E88"/>
    <w:rsid w:val="0063288A"/>
    <w:rsid w:val="0063445A"/>
    <w:rsid w:val="00642EB5"/>
    <w:rsid w:val="006578F1"/>
    <w:rsid w:val="006A1F80"/>
    <w:rsid w:val="006D5EB5"/>
    <w:rsid w:val="006E0DDA"/>
    <w:rsid w:val="00700510"/>
    <w:rsid w:val="0072107F"/>
    <w:rsid w:val="007363D4"/>
    <w:rsid w:val="00782193"/>
    <w:rsid w:val="00792749"/>
    <w:rsid w:val="007C08E2"/>
    <w:rsid w:val="007C2B77"/>
    <w:rsid w:val="007D3C0F"/>
    <w:rsid w:val="00802E15"/>
    <w:rsid w:val="008043A0"/>
    <w:rsid w:val="0081091F"/>
    <w:rsid w:val="00821EF3"/>
    <w:rsid w:val="0083195D"/>
    <w:rsid w:val="008442F1"/>
    <w:rsid w:val="008549FB"/>
    <w:rsid w:val="00876BC2"/>
    <w:rsid w:val="00880A54"/>
    <w:rsid w:val="00886789"/>
    <w:rsid w:val="008A766F"/>
    <w:rsid w:val="008B54B8"/>
    <w:rsid w:val="008F16D5"/>
    <w:rsid w:val="00912A93"/>
    <w:rsid w:val="0091361D"/>
    <w:rsid w:val="00915BEE"/>
    <w:rsid w:val="00920DCD"/>
    <w:rsid w:val="009307FF"/>
    <w:rsid w:val="00941DC1"/>
    <w:rsid w:val="0094289F"/>
    <w:rsid w:val="009431ED"/>
    <w:rsid w:val="0094544D"/>
    <w:rsid w:val="00952DA2"/>
    <w:rsid w:val="009567C4"/>
    <w:rsid w:val="00956882"/>
    <w:rsid w:val="00972F95"/>
    <w:rsid w:val="00974FA5"/>
    <w:rsid w:val="00984AB9"/>
    <w:rsid w:val="0099118C"/>
    <w:rsid w:val="009964A5"/>
    <w:rsid w:val="009A55A6"/>
    <w:rsid w:val="009C0BE8"/>
    <w:rsid w:val="009C39FB"/>
    <w:rsid w:val="00A174F0"/>
    <w:rsid w:val="00A21443"/>
    <w:rsid w:val="00A248CE"/>
    <w:rsid w:val="00A32DAB"/>
    <w:rsid w:val="00A4632F"/>
    <w:rsid w:val="00A5018B"/>
    <w:rsid w:val="00A71FBB"/>
    <w:rsid w:val="00AB3A7F"/>
    <w:rsid w:val="00AC0C0A"/>
    <w:rsid w:val="00AC65CF"/>
    <w:rsid w:val="00AD6079"/>
    <w:rsid w:val="00AE02B2"/>
    <w:rsid w:val="00AE49D8"/>
    <w:rsid w:val="00B12892"/>
    <w:rsid w:val="00B14905"/>
    <w:rsid w:val="00B33031"/>
    <w:rsid w:val="00B33252"/>
    <w:rsid w:val="00B358DB"/>
    <w:rsid w:val="00B4489E"/>
    <w:rsid w:val="00B46A49"/>
    <w:rsid w:val="00B50629"/>
    <w:rsid w:val="00B51E43"/>
    <w:rsid w:val="00B678B4"/>
    <w:rsid w:val="00B764F1"/>
    <w:rsid w:val="00BA067E"/>
    <w:rsid w:val="00BA21F4"/>
    <w:rsid w:val="00BA5175"/>
    <w:rsid w:val="00BA789E"/>
    <w:rsid w:val="00BC0281"/>
    <w:rsid w:val="00BD18DA"/>
    <w:rsid w:val="00BE3306"/>
    <w:rsid w:val="00BE35AE"/>
    <w:rsid w:val="00C03D16"/>
    <w:rsid w:val="00C324DB"/>
    <w:rsid w:val="00C516E2"/>
    <w:rsid w:val="00C570C8"/>
    <w:rsid w:val="00C67353"/>
    <w:rsid w:val="00C7745D"/>
    <w:rsid w:val="00CA464D"/>
    <w:rsid w:val="00CC1B85"/>
    <w:rsid w:val="00CC55AD"/>
    <w:rsid w:val="00CE6400"/>
    <w:rsid w:val="00CF5F22"/>
    <w:rsid w:val="00CF63DE"/>
    <w:rsid w:val="00D11E0B"/>
    <w:rsid w:val="00D164B7"/>
    <w:rsid w:val="00D16F3F"/>
    <w:rsid w:val="00D20444"/>
    <w:rsid w:val="00D41E8D"/>
    <w:rsid w:val="00D50E7C"/>
    <w:rsid w:val="00D75ACC"/>
    <w:rsid w:val="00D8083A"/>
    <w:rsid w:val="00D866F6"/>
    <w:rsid w:val="00D925BC"/>
    <w:rsid w:val="00DA3E41"/>
    <w:rsid w:val="00DA7459"/>
    <w:rsid w:val="00DD3407"/>
    <w:rsid w:val="00DD38C7"/>
    <w:rsid w:val="00E04CFC"/>
    <w:rsid w:val="00E04D73"/>
    <w:rsid w:val="00E25FB9"/>
    <w:rsid w:val="00E31689"/>
    <w:rsid w:val="00E376D8"/>
    <w:rsid w:val="00E52FB9"/>
    <w:rsid w:val="00E76FAC"/>
    <w:rsid w:val="00E82D23"/>
    <w:rsid w:val="00E8387D"/>
    <w:rsid w:val="00E85EFB"/>
    <w:rsid w:val="00E87939"/>
    <w:rsid w:val="00E9260D"/>
    <w:rsid w:val="00E94FF2"/>
    <w:rsid w:val="00EA1A7F"/>
    <w:rsid w:val="00EB1D03"/>
    <w:rsid w:val="00EB2CD1"/>
    <w:rsid w:val="00EB721C"/>
    <w:rsid w:val="00EB794A"/>
    <w:rsid w:val="00EF23AC"/>
    <w:rsid w:val="00EF595A"/>
    <w:rsid w:val="00EF75D1"/>
    <w:rsid w:val="00F03A2B"/>
    <w:rsid w:val="00F04929"/>
    <w:rsid w:val="00F1498A"/>
    <w:rsid w:val="00F20882"/>
    <w:rsid w:val="00F26191"/>
    <w:rsid w:val="00F27640"/>
    <w:rsid w:val="00F34677"/>
    <w:rsid w:val="00F42B92"/>
    <w:rsid w:val="00F5657C"/>
    <w:rsid w:val="00F60158"/>
    <w:rsid w:val="00F62890"/>
    <w:rsid w:val="00F7198F"/>
    <w:rsid w:val="00F74C49"/>
    <w:rsid w:val="00F96325"/>
    <w:rsid w:val="00FF473C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paragraph" w:styleId="ab">
    <w:name w:val="No Spacing"/>
    <w:uiPriority w:val="1"/>
    <w:qFormat/>
    <w:rsid w:val="009307F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84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06B0-9CCA-4072-BB88-F3362992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Владелец</cp:lastModifiedBy>
  <cp:revision>2</cp:revision>
  <cp:lastPrinted>2017-02-13T04:22:00Z</cp:lastPrinted>
  <dcterms:created xsi:type="dcterms:W3CDTF">2017-02-13T07:31:00Z</dcterms:created>
  <dcterms:modified xsi:type="dcterms:W3CDTF">2017-02-13T07:31:00Z</dcterms:modified>
</cp:coreProperties>
</file>