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48" w:rsidRPr="00194748" w:rsidRDefault="00194748" w:rsidP="003B287D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1A38913" wp14:editId="59CE9B42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48" w:rsidRPr="00194748" w:rsidRDefault="00194748" w:rsidP="00194748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ЗЕМСКОЕ СОБРАНИЕ ЮРЛИНСКОГО МУНИЦИПАЛЬНОГО РАЙОНА ПЕРМСКОГО КРАЯ</w:t>
      </w:r>
    </w:p>
    <w:p w:rsidR="00194748" w:rsidRPr="00194748" w:rsidRDefault="00194748" w:rsidP="00194748">
      <w:pPr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/>
        </w:rPr>
      </w:pPr>
      <w:r w:rsidRPr="00194748">
        <w:rPr>
          <w:rFonts w:ascii="Times New Roman" w:eastAsiaTheme="minorEastAsia" w:hAnsi="Times New Roman"/>
          <w:b/>
          <w:sz w:val="32"/>
          <w:szCs w:val="32"/>
          <w:lang w:val="ru-RU" w:eastAsia="ru-RU"/>
        </w:rPr>
        <w:t>РЕШЕНИЕ</w:t>
      </w:r>
    </w:p>
    <w:p w:rsidR="00194748" w:rsidRPr="00194748" w:rsidRDefault="00194748" w:rsidP="00194748">
      <w:pPr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25.05.2018                                                                                                     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№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102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</w:p>
    <w:p w:rsidR="00194748" w:rsidRPr="00194748" w:rsidRDefault="00194748" w:rsidP="0019474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Об    </w:t>
      </w:r>
      <w:proofErr w:type="gramStart"/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отчёте</w:t>
      </w:r>
      <w:proofErr w:type="gramEnd"/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   о  выполнении   муниципальной</w:t>
      </w:r>
    </w:p>
    <w:p w:rsidR="00194748" w:rsidRPr="00194748" w:rsidRDefault="00194748" w:rsidP="0019474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программы  «Кадры» за 2017 год</w:t>
      </w:r>
    </w:p>
    <w:p w:rsidR="00194748" w:rsidRPr="00194748" w:rsidRDefault="00194748" w:rsidP="00194748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194748" w:rsidRPr="00194748" w:rsidRDefault="00194748" w:rsidP="003B287D">
      <w:pPr>
        <w:spacing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«Юрлинский муниципальный район»  Земское Собрание Юрлинского муниципального района  </w:t>
      </w:r>
      <w:r w:rsidRPr="0019474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РЕШАЕТ:</w:t>
      </w:r>
    </w:p>
    <w:p w:rsidR="00194748" w:rsidRPr="00194748" w:rsidRDefault="00194748" w:rsidP="003B2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>1. Отчёт о выполнении муниципальной программы «Кадры» за 2017 год принять к сведению (прилагается).</w:t>
      </w:r>
    </w:p>
    <w:p w:rsidR="00194748" w:rsidRPr="00194748" w:rsidRDefault="00194748" w:rsidP="003B2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2. </w:t>
      </w:r>
      <w:r w:rsidR="00EA5F7B">
        <w:rPr>
          <w:rFonts w:ascii="Times New Roman" w:eastAsiaTheme="minorEastAsia" w:hAnsi="Times New Roman"/>
          <w:sz w:val="28"/>
          <w:szCs w:val="28"/>
          <w:lang w:val="ru-RU" w:eastAsia="ru-RU"/>
        </w:rPr>
        <w:t>О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братить внимание </w:t>
      </w:r>
      <w:r w:rsidR="00EA5F7B">
        <w:rPr>
          <w:rFonts w:ascii="Times New Roman" w:eastAsiaTheme="minorEastAsia" w:hAnsi="Times New Roman"/>
          <w:sz w:val="28"/>
          <w:szCs w:val="28"/>
          <w:lang w:val="ru-RU" w:eastAsia="ru-RU"/>
        </w:rPr>
        <w:t>А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дминистрации Юрлинского муниципального района </w:t>
      </w:r>
      <w:r w:rsidR="00EA5F7B">
        <w:rPr>
          <w:rFonts w:ascii="Times New Roman" w:eastAsiaTheme="minorEastAsia" w:hAnsi="Times New Roman"/>
          <w:sz w:val="28"/>
          <w:szCs w:val="28"/>
          <w:lang w:val="ru-RU" w:eastAsia="ru-RU"/>
        </w:rPr>
        <w:t>на своевременность внесения изменений в данную программу при внесении изменений в бюджет Юрлинского муниципального района.</w:t>
      </w:r>
    </w:p>
    <w:p w:rsidR="00194748" w:rsidRPr="00194748" w:rsidRDefault="00194748" w:rsidP="003B287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3. Направить настоящее решение в 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>А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>дминистрацию Юрлинского муниципального района, прокуратуру Юрлинского  района и Контрольно-счетную палату Юрлинского муниципального района.</w:t>
      </w:r>
    </w:p>
    <w:p w:rsidR="00194748" w:rsidRPr="00194748" w:rsidRDefault="00194748" w:rsidP="003B287D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ab/>
        <w:t>4. Настоящее решение вступает в силу со дня его подписания и подлежит опубликованию в информационном бюллетене «Вестник Юрлы».</w:t>
      </w:r>
    </w:p>
    <w:p w:rsidR="00194748" w:rsidRPr="00194748" w:rsidRDefault="00194748" w:rsidP="0019474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ha-Latn-NG"/>
        </w:rPr>
      </w:pPr>
    </w:p>
    <w:p w:rsidR="00194748" w:rsidRP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>Председатель Земского Собрания</w:t>
      </w:r>
    </w:p>
    <w:p w:rsidR="00194748" w:rsidRPr="00194748" w:rsidRDefault="00194748" w:rsidP="00194748">
      <w:pPr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Юрлинского муниципального района                         </w:t>
      </w:r>
      <w:r w:rsidR="00855021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     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 А.И.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>Пикулев</w:t>
      </w:r>
    </w:p>
    <w:p w:rsidR="00194748" w:rsidRP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19474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Глава Юрлинского муниципального района          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</w:t>
      </w:r>
      <w:r w:rsidR="00855021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  Т.М.</w:t>
      </w:r>
      <w:r w:rsidR="003B287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Моисеева</w:t>
      </w:r>
    </w:p>
    <w:p w:rsid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194748" w:rsidRDefault="00194748" w:rsidP="0019474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  <w:sectPr w:rsidR="00194748" w:rsidSect="008550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94748" w:rsidRDefault="00C1412A" w:rsidP="0075734C">
      <w:pPr>
        <w:spacing w:after="0" w:line="240" w:lineRule="auto"/>
        <w:ind w:left="357"/>
        <w:jc w:val="right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lastRenderedPageBreak/>
        <w:t>Приложение</w:t>
      </w:r>
    </w:p>
    <w:p w:rsidR="0075734C" w:rsidRDefault="00C1412A" w:rsidP="0075734C">
      <w:pPr>
        <w:spacing w:after="0" w:line="240" w:lineRule="auto"/>
        <w:ind w:left="357"/>
        <w:jc w:val="right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к решению</w:t>
      </w:r>
      <w:r w:rsidR="0075734C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Земского Собрания</w:t>
      </w:r>
    </w:p>
    <w:p w:rsidR="0075734C" w:rsidRDefault="0075734C" w:rsidP="0075734C">
      <w:pPr>
        <w:spacing w:after="0" w:line="240" w:lineRule="auto"/>
        <w:ind w:left="357"/>
        <w:jc w:val="right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Юрлинского муниципального района</w:t>
      </w:r>
    </w:p>
    <w:p w:rsidR="0075734C" w:rsidRPr="00194748" w:rsidRDefault="0075734C" w:rsidP="0075734C">
      <w:pPr>
        <w:spacing w:after="0" w:line="240" w:lineRule="auto"/>
        <w:ind w:left="357"/>
        <w:jc w:val="right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от 25.05.2018 №</w:t>
      </w:r>
      <w:r w:rsidR="00C1412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102</w:t>
      </w: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</w:p>
    <w:p w:rsidR="00194748" w:rsidRDefault="00194748" w:rsidP="00A11866">
      <w:pPr>
        <w:pStyle w:val="ConsPlusNormal"/>
        <w:jc w:val="center"/>
        <w:rPr>
          <w:b/>
        </w:rPr>
      </w:pPr>
    </w:p>
    <w:p w:rsidR="00194748" w:rsidRDefault="00194748" w:rsidP="00A11866">
      <w:pPr>
        <w:pStyle w:val="ConsPlusNormal"/>
        <w:jc w:val="center"/>
        <w:rPr>
          <w:b/>
        </w:rPr>
      </w:pPr>
    </w:p>
    <w:p w:rsidR="00A11866" w:rsidRPr="001B6A40" w:rsidRDefault="00A11866" w:rsidP="00A11866">
      <w:pPr>
        <w:pStyle w:val="ConsPlusNormal"/>
        <w:jc w:val="center"/>
        <w:rPr>
          <w:b/>
        </w:rPr>
      </w:pPr>
      <w:r w:rsidRPr="001B6A40">
        <w:rPr>
          <w:b/>
        </w:rPr>
        <w:t>ГОДОВОЙ ОТЧЕТ</w:t>
      </w:r>
    </w:p>
    <w:p w:rsidR="00A11866" w:rsidRDefault="00A11866" w:rsidP="00A11866">
      <w:pPr>
        <w:pStyle w:val="ConsPlusNormal"/>
        <w:jc w:val="center"/>
      </w:pPr>
      <w:r>
        <w:t xml:space="preserve">о выполнении </w:t>
      </w:r>
      <w:r w:rsidRPr="001B6A40">
        <w:rPr>
          <w:b/>
        </w:rPr>
        <w:t>муниципальной программы «Кадры»</w:t>
      </w:r>
      <w:r>
        <w:t xml:space="preserve"> </w:t>
      </w:r>
    </w:p>
    <w:p w:rsidR="00A11866" w:rsidRDefault="00A11866" w:rsidP="00A11866">
      <w:pPr>
        <w:pStyle w:val="ConsPlusNormal"/>
        <w:jc w:val="center"/>
      </w:pPr>
      <w:r>
        <w:t xml:space="preserve">Юрлинский муниципальный район на </w:t>
      </w:r>
      <w:r w:rsidRPr="001B6A40">
        <w:rPr>
          <w:b/>
        </w:rPr>
        <w:t>01.01.201</w:t>
      </w:r>
      <w:r w:rsidR="0089727A">
        <w:rPr>
          <w:b/>
        </w:rPr>
        <w:t>8</w:t>
      </w:r>
      <w:r>
        <w:t xml:space="preserve"> год</w:t>
      </w:r>
    </w:p>
    <w:p w:rsidR="00A84BD4" w:rsidRDefault="00A84BD4" w:rsidP="00D6794D">
      <w:pPr>
        <w:pStyle w:val="ConsPlusNormal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A84BD4" w:rsidP="00196FA6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Pr="00D6794D" w:rsidRDefault="00A84BD4" w:rsidP="00E82735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 xml:space="preserve">Главный специалист отдела по </w:t>
            </w:r>
            <w:r w:rsidR="00C60360">
              <w:rPr>
                <w:sz w:val="22"/>
                <w:szCs w:val="22"/>
              </w:rPr>
              <w:t xml:space="preserve">социальному и </w:t>
            </w:r>
            <w:r w:rsidRPr="00D6794D">
              <w:rPr>
                <w:sz w:val="22"/>
                <w:szCs w:val="22"/>
              </w:rPr>
              <w:t xml:space="preserve">экономическому развитию              </w:t>
            </w:r>
            <w:r w:rsidR="00E82735">
              <w:rPr>
                <w:sz w:val="22"/>
                <w:szCs w:val="22"/>
              </w:rPr>
              <w:t>Ефремова Мария Васильевна</w:t>
            </w:r>
          </w:p>
        </w:tc>
      </w:tr>
    </w:tbl>
    <w:p w:rsidR="00A11866" w:rsidRPr="00A11866" w:rsidRDefault="00A11866" w:rsidP="00A1186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A11866">
        <w:rPr>
          <w:rFonts w:ascii="Times New Roman" w:eastAsia="Times New Roman" w:hAnsi="Times New Roman"/>
          <w:sz w:val="24"/>
          <w:szCs w:val="20"/>
          <w:lang w:val="ru-RU" w:eastAsia="ru-RU"/>
        </w:rPr>
        <w:t>Оценка достижения целей и задач муниципальной программы.</w:t>
      </w:r>
    </w:p>
    <w:p w:rsidR="00A305B7" w:rsidRDefault="00A305B7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866" w:rsidRDefault="00A11866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11866">
        <w:rPr>
          <w:rFonts w:ascii="Times New Roman" w:hAnsi="Times New Roman"/>
          <w:sz w:val="24"/>
          <w:szCs w:val="24"/>
          <w:lang w:val="ru-RU"/>
        </w:rPr>
        <w:t>В 201</w:t>
      </w:r>
      <w:r w:rsidR="0089727A">
        <w:rPr>
          <w:rFonts w:ascii="Times New Roman" w:hAnsi="Times New Roman"/>
          <w:sz w:val="24"/>
          <w:szCs w:val="24"/>
          <w:lang w:val="ru-RU"/>
        </w:rPr>
        <w:t>7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году привлечено </w:t>
      </w:r>
      <w:r w:rsidR="0089727A">
        <w:rPr>
          <w:rFonts w:ascii="Times New Roman" w:hAnsi="Times New Roman"/>
          <w:sz w:val="24"/>
          <w:szCs w:val="24"/>
          <w:lang w:val="ru-RU"/>
        </w:rPr>
        <w:t>4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квалифицированных </w:t>
      </w:r>
      <w:r w:rsidR="00F4458E">
        <w:rPr>
          <w:rFonts w:ascii="Times New Roman" w:hAnsi="Times New Roman"/>
          <w:sz w:val="24"/>
          <w:szCs w:val="24"/>
          <w:lang w:val="ru-RU"/>
        </w:rPr>
        <w:t>специалист</w:t>
      </w:r>
      <w:r w:rsidR="00A305B7">
        <w:rPr>
          <w:rFonts w:ascii="Times New Roman" w:hAnsi="Times New Roman"/>
          <w:sz w:val="24"/>
          <w:szCs w:val="24"/>
          <w:lang w:val="ru-RU"/>
        </w:rPr>
        <w:t>а</w:t>
      </w:r>
      <w:r w:rsidRPr="00A11866">
        <w:rPr>
          <w:rFonts w:ascii="Times New Roman" w:hAnsi="Times New Roman"/>
          <w:sz w:val="24"/>
          <w:szCs w:val="24"/>
          <w:lang w:val="ru-RU"/>
        </w:rPr>
        <w:t xml:space="preserve"> в бюджетную сферу района, необходимых для функционирования учреждений и оказание качественных услуг населению, из них: </w:t>
      </w:r>
    </w:p>
    <w:p w:rsidR="00A305B7" w:rsidRPr="00A11866" w:rsidRDefault="00A305B7" w:rsidP="00A305B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4"/>
      </w:tblGrid>
      <w:tr w:rsidR="00C60360" w:rsidRPr="00DB24F5" w:rsidTr="003440B9">
        <w:trPr>
          <w:trHeight w:val="508"/>
        </w:trPr>
        <w:tc>
          <w:tcPr>
            <w:tcW w:w="14884" w:type="dxa"/>
          </w:tcPr>
          <w:p w:rsidR="00C60360" w:rsidRPr="00A11866" w:rsidRDefault="0089727A" w:rsidP="003328FA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440B9">
              <w:rPr>
                <w:rFonts w:ascii="Times New Roman" w:hAnsi="Times New Roman"/>
                <w:lang w:val="ru-RU"/>
              </w:rPr>
              <w:t>в</w:t>
            </w:r>
            <w:r w:rsidR="00C60360" w:rsidRPr="00D6794D">
              <w:rPr>
                <w:rFonts w:ascii="Times New Roman" w:hAnsi="Times New Roman"/>
                <w:lang w:val="ru-RU"/>
              </w:rPr>
              <w:t>оспитател</w:t>
            </w:r>
            <w:r>
              <w:rPr>
                <w:rFonts w:ascii="Times New Roman" w:hAnsi="Times New Roman"/>
                <w:lang w:val="ru-RU"/>
              </w:rPr>
              <w:t>ь</w:t>
            </w:r>
            <w:r w:rsidR="00A305B7">
              <w:rPr>
                <w:rFonts w:ascii="Times New Roman" w:hAnsi="Times New Roman"/>
                <w:lang w:val="ru-RU"/>
              </w:rPr>
              <w:t xml:space="preserve"> - МБОУ «Юрлинский д/сад № 5 с. Юрла</w:t>
            </w:r>
            <w:r w:rsidR="00C60360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2 учителя английского языка</w:t>
            </w:r>
            <w:r w:rsidR="00A305B7">
              <w:rPr>
                <w:rFonts w:ascii="Times New Roman" w:hAnsi="Times New Roman"/>
                <w:lang w:val="ru-RU"/>
              </w:rPr>
              <w:t xml:space="preserve"> - в МБОУ «Юрлинская средняя общеобразовательная школа имени </w:t>
            </w:r>
            <w:proofErr w:type="spellStart"/>
            <w:r w:rsidR="00A305B7">
              <w:rPr>
                <w:rFonts w:ascii="Times New Roman" w:hAnsi="Times New Roman"/>
                <w:lang w:val="ru-RU"/>
              </w:rPr>
              <w:t>Л.Барышева</w:t>
            </w:r>
            <w:proofErr w:type="spellEnd"/>
            <w:r w:rsidR="00A305B7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lang w:val="ru-RU"/>
              </w:rPr>
              <w:t>, 1 фельдшер</w:t>
            </w:r>
            <w:r w:rsidR="00A305B7">
              <w:rPr>
                <w:rFonts w:ascii="Times New Roman" w:hAnsi="Times New Roman"/>
                <w:lang w:val="ru-RU"/>
              </w:rPr>
              <w:t xml:space="preserve"> в Усть – Березовск</w:t>
            </w:r>
            <w:r w:rsidR="003328FA">
              <w:rPr>
                <w:rFonts w:ascii="Times New Roman" w:hAnsi="Times New Roman"/>
                <w:lang w:val="ru-RU"/>
              </w:rPr>
              <w:t>ий</w:t>
            </w:r>
            <w:r w:rsidR="00A305B7">
              <w:rPr>
                <w:rFonts w:ascii="Times New Roman" w:hAnsi="Times New Roman"/>
                <w:lang w:val="ru-RU"/>
              </w:rPr>
              <w:t xml:space="preserve"> ФАП</w:t>
            </w:r>
            <w:r w:rsidR="003440B9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A305B7" w:rsidRDefault="00A305B7" w:rsidP="00D6794D">
      <w:pPr>
        <w:pStyle w:val="ConsPlusNormal"/>
        <w:ind w:firstLine="540"/>
        <w:jc w:val="both"/>
      </w:pPr>
    </w:p>
    <w:p w:rsidR="00A84BD4" w:rsidRDefault="00A84BD4" w:rsidP="00D6794D">
      <w:pPr>
        <w:pStyle w:val="ConsPlusNormal"/>
        <w:ind w:firstLine="540"/>
        <w:jc w:val="both"/>
      </w:pPr>
      <w:r>
        <w:t xml:space="preserve">2. Достигнутые результаты (исполнение контрольных точек), причины </w:t>
      </w:r>
      <w:proofErr w:type="gramStart"/>
      <w:r>
        <w:t>не</w:t>
      </w:r>
      <w:r w:rsidR="00D6794D">
        <w:t xml:space="preserve"> </w:t>
      </w:r>
      <w:r>
        <w:t>достижения</w:t>
      </w:r>
      <w:proofErr w:type="gramEnd"/>
      <w:r>
        <w:t xml:space="preserve"> запланированных результатов, нарушения сроков.</w:t>
      </w:r>
    </w:p>
    <w:p w:rsidR="00701168" w:rsidRDefault="00701168" w:rsidP="00D6794D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2410"/>
        <w:gridCol w:w="2693"/>
        <w:gridCol w:w="2126"/>
        <w:gridCol w:w="4536"/>
      </w:tblGrid>
      <w:tr w:rsidR="00A84BD4" w:rsidRPr="00DB24F5" w:rsidTr="003440B9">
        <w:trPr>
          <w:trHeight w:val="743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 xml:space="preserve">N </w:t>
            </w:r>
            <w:proofErr w:type="gramStart"/>
            <w:r w:rsidRPr="00D6794D">
              <w:rPr>
                <w:sz w:val="22"/>
                <w:szCs w:val="22"/>
              </w:rPr>
              <w:t>п</w:t>
            </w:r>
            <w:proofErr w:type="gramEnd"/>
            <w:r w:rsidRPr="00D6794D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окончание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окончание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Достигнутые результаты. Причины неисполнения, нарушения сроков</w:t>
            </w:r>
          </w:p>
        </w:tc>
      </w:tr>
      <w:tr w:rsidR="00A84BD4" w:rsidTr="003440B9">
        <w:trPr>
          <w:trHeight w:val="218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A84BD4" w:rsidTr="003440B9">
        <w:trPr>
          <w:trHeight w:val="169"/>
        </w:trPr>
        <w:tc>
          <w:tcPr>
            <w:tcW w:w="488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A84BD4" w:rsidRPr="00D6794D" w:rsidRDefault="00AA6E72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D6794D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701168" w:rsidRDefault="00701168" w:rsidP="00D6794D">
      <w:pPr>
        <w:pStyle w:val="ConsPlusNormal"/>
        <w:ind w:firstLine="54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DB24F5" w:rsidTr="001A4CC3"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D6794D">
              <w:rPr>
                <w:sz w:val="22"/>
                <w:szCs w:val="22"/>
              </w:rPr>
              <w:t>п</w:t>
            </w:r>
            <w:proofErr w:type="gramEnd"/>
            <w:r w:rsidRPr="00D6794D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vAlign w:val="center"/>
          </w:tcPr>
          <w:p w:rsidR="00A84BD4" w:rsidRPr="00D6794D" w:rsidRDefault="00A84BD4" w:rsidP="00196FA6">
            <w:pPr>
              <w:pStyle w:val="ConsPlusNormal"/>
              <w:jc w:val="center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6</w:t>
            </w:r>
          </w:p>
        </w:tc>
      </w:tr>
      <w:tr w:rsidR="00DA1648" w:rsidRPr="00DB24F5" w:rsidTr="003440B9">
        <w:trPr>
          <w:trHeight w:val="923"/>
        </w:trPr>
        <w:tc>
          <w:tcPr>
            <w:tcW w:w="488" w:type="dxa"/>
            <w:vAlign w:val="center"/>
          </w:tcPr>
          <w:p w:rsidR="00A84BD4" w:rsidRPr="00D6794D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D6794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D6794D" w:rsidRDefault="0011290C" w:rsidP="0011290C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6794D">
              <w:rPr>
                <w:rFonts w:ascii="Times New Roman" w:eastAsia="Times New Roman" w:hAnsi="Times New Roman"/>
                <w:lang w:val="ru-RU" w:eastAsia="ru-RU"/>
              </w:rPr>
              <w:t>Обеспечение специалистов, изъявивших жить и работать  на территории района, благоустроенным жильем (человек)</w:t>
            </w:r>
          </w:p>
        </w:tc>
        <w:tc>
          <w:tcPr>
            <w:tcW w:w="1275" w:type="dxa"/>
            <w:vAlign w:val="center"/>
          </w:tcPr>
          <w:p w:rsidR="00A84BD4" w:rsidRPr="00D6794D" w:rsidRDefault="003440B9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A84BD4" w:rsidRPr="00D6794D" w:rsidRDefault="0089727A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D6794D" w:rsidRDefault="0089727A" w:rsidP="003440B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37" w:type="dxa"/>
            <w:vAlign w:val="center"/>
          </w:tcPr>
          <w:p w:rsidR="004643D8" w:rsidRDefault="004643D8" w:rsidP="004643D8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В марте 2017 г. Администрацией Юрлинского муниципального района был</w:t>
            </w:r>
            <w:r w:rsidR="003328F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приобретен</w:t>
            </w:r>
            <w:r w:rsidR="003328FA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2 квартиры</w:t>
            </w:r>
            <w:r w:rsidR="00CF3797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с. Усть </w:t>
            </w:r>
            <w:proofErr w:type="gramStart"/>
            <w:r>
              <w:rPr>
                <w:sz w:val="22"/>
                <w:szCs w:val="22"/>
              </w:rPr>
              <w:t>-Б</w:t>
            </w:r>
            <w:proofErr w:type="gramEnd"/>
            <w:r>
              <w:rPr>
                <w:sz w:val="22"/>
                <w:szCs w:val="22"/>
              </w:rPr>
              <w:t>ерезовка, одна квартира была предоставлена квалифицированному специалисту -</w:t>
            </w:r>
            <w:r>
              <w:t xml:space="preserve"> фельдшеру  Усть – Березовского ФАП, вторая квартира никому не предоставлена, в связи с отсутствием специалиста. </w:t>
            </w:r>
          </w:p>
          <w:p w:rsidR="00A84BD4" w:rsidRPr="00D6794D" w:rsidRDefault="004643D8" w:rsidP="00CF379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 xml:space="preserve">В январе 2017 года отделом образования была предоставлена информация о потребности в педагогических кадрах,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="00641C9D">
              <w:t xml:space="preserve">на </w:t>
            </w:r>
            <w:r>
              <w:t>учител</w:t>
            </w:r>
            <w:r w:rsidR="00641C9D">
              <w:t>я</w:t>
            </w:r>
            <w:r>
              <w:t xml:space="preserve"> английского языка  в МБОУ Усть – Березовская основная общеобразовательная школа»</w:t>
            </w:r>
            <w:r w:rsidR="00641C9D">
              <w:t xml:space="preserve">, но специалист не </w:t>
            </w:r>
            <w:r w:rsidR="00CF3797">
              <w:t>изъявил желание жить и работать на территории Юрлинского муниципального района</w:t>
            </w:r>
            <w:r w:rsidR="00641C9D">
              <w:t>.</w:t>
            </w:r>
          </w:p>
        </w:tc>
      </w:tr>
    </w:tbl>
    <w:p w:rsidR="00701168" w:rsidRDefault="00701168" w:rsidP="00D15ADA">
      <w:pPr>
        <w:pStyle w:val="ConsPlusNormal"/>
        <w:jc w:val="both"/>
      </w:pPr>
    </w:p>
    <w:p w:rsidR="00A84BD4" w:rsidRDefault="00A84BD4" w:rsidP="00933459">
      <w:pPr>
        <w:pStyle w:val="ConsPlusNormal"/>
        <w:spacing w:line="276" w:lineRule="auto"/>
        <w:ind w:firstLine="851"/>
        <w:jc w:val="both"/>
      </w:pPr>
      <w:r>
        <w:t>4. Анализ факторов, повлиявших на ход реализации муниципальной программы.</w:t>
      </w:r>
    </w:p>
    <w:p w:rsidR="00D6794D" w:rsidRPr="00D6794D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>Для реализации муниципальн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ой программы «Кадры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>» в 201</w:t>
      </w:r>
      <w:r w:rsidR="0089727A">
        <w:rPr>
          <w:rFonts w:ascii="Times New Roman" w:eastAsia="Times New Roman" w:hAnsi="Times New Roman"/>
          <w:sz w:val="24"/>
          <w:szCs w:val="20"/>
          <w:lang w:val="ru-RU" w:eastAsia="ru-RU"/>
        </w:rPr>
        <w:t>7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году, решением Земского Собрания Юрлинского муниципального района 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16.12.2016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г.,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03BB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847DE7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403BB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>«О бюджете муниципального образования «Юрлинский муниципальный район» на 201</w:t>
      </w:r>
      <w:r w:rsidR="0089727A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 и плановый период 201</w:t>
      </w:r>
      <w:r w:rsidR="0089727A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201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403BB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годов»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утверждена сумма в размере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4 781,4 тыс.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рублей, из них: </w:t>
      </w:r>
    </w:p>
    <w:p w:rsidR="00780F54" w:rsidRDefault="00780F54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формирование служебного жилого фонда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4469,7 тыс. рублей;</w:t>
      </w:r>
    </w:p>
    <w:p w:rsidR="00D6794D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</w:t>
      </w:r>
      <w:r w:rsidR="00847DE7">
        <w:rPr>
          <w:rFonts w:ascii="Times New Roman" w:eastAsia="Times New Roman" w:hAnsi="Times New Roman"/>
          <w:sz w:val="24"/>
          <w:szCs w:val="20"/>
          <w:lang w:val="ru-RU" w:eastAsia="ru-RU"/>
        </w:rPr>
        <w:t>уплата налогов на имущество за служебный жилой фонд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301,7 тыс.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рублей;</w:t>
      </w:r>
    </w:p>
    <w:p w:rsidR="00C56DE6" w:rsidRPr="00D6794D" w:rsidRDefault="00C56DE6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вносы на капитальный  ремонт в многоквартирных домах, находящихся в муниципальной собственности (служебный жилой фонд) 10 тыс. рублей.</w:t>
      </w:r>
    </w:p>
    <w:p w:rsidR="00780F54" w:rsidRDefault="00D6794D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proofErr w:type="gramStart"/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На основании решения Земского Собрания Юрлинского муниципального района от </w:t>
      </w:r>
      <w:r w:rsidR="00A305B7">
        <w:rPr>
          <w:rFonts w:ascii="Times New Roman" w:eastAsia="Times New Roman" w:hAnsi="Times New Roman"/>
          <w:sz w:val="24"/>
          <w:szCs w:val="20"/>
          <w:lang w:val="ru-RU" w:eastAsia="ru-RU"/>
        </w:rPr>
        <w:t>15.12.2017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года, № 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78</w:t>
      </w:r>
      <w:r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«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>О внесении изменений в решение Земского Собрания Юрлинского муниципального района</w:t>
      </w:r>
      <w:r w:rsidR="001F6C0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16.12.2016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г.,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>21</w:t>
      </w:r>
      <w:r w:rsidR="00C56DE6"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«О бюджете муниципального образования </w:t>
      </w:r>
      <w:r w:rsidR="00C56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«Юрлинский муниципальный район» на 2017 год и плановый период 2018 и 2019 годов» </w:t>
      </w:r>
      <w:r w:rsidRPr="00D679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уточненный план составляет 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>4 701,50 тыс.</w:t>
      </w:r>
      <w:r w:rsidR="001F6C06"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рублей, из них: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   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формирование служебного жилого фонда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4 174,80 тыс. рублей;</w:t>
      </w:r>
      <w:proofErr w:type="gramEnd"/>
    </w:p>
    <w:p w:rsidR="001F6C06" w:rsidRPr="00427E3E" w:rsidRDefault="001F6C06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- уплата налогов на имущество за служебный жилой фонд </w:t>
      </w:r>
      <w:r w:rsidR="00C56DE6">
        <w:rPr>
          <w:rFonts w:ascii="Times New Roman" w:eastAsia="Times New Roman" w:hAnsi="Times New Roman"/>
          <w:sz w:val="24"/>
          <w:szCs w:val="20"/>
          <w:lang w:val="ru-RU" w:eastAsia="ru-RU"/>
        </w:rPr>
        <w:t>301,7 тыс.</w:t>
      </w:r>
      <w:r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рублей;</w:t>
      </w:r>
    </w:p>
    <w:p w:rsidR="00C56DE6" w:rsidRDefault="00C56DE6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вносы на капитальный  ремонт в многоквартирных домах, находящихся в муниципальной собственности (служе</w:t>
      </w:r>
      <w:r w:rsidR="003438FA">
        <w:rPr>
          <w:rFonts w:ascii="Times New Roman" w:eastAsia="Times New Roman" w:hAnsi="Times New Roman"/>
          <w:sz w:val="24"/>
          <w:szCs w:val="20"/>
          <w:lang w:val="ru-RU" w:eastAsia="ru-RU"/>
        </w:rPr>
        <w:t>бный жилой фонд) 10 тыс. рублей;</w:t>
      </w:r>
    </w:p>
    <w:p w:rsidR="003438FA" w:rsidRPr="00D6794D" w:rsidRDefault="003438FA" w:rsidP="00933459">
      <w:pPr>
        <w:widowControl w:val="0"/>
        <w:autoSpaceDE w:val="0"/>
        <w:autoSpaceDN w:val="0"/>
        <w:spacing w:after="0"/>
        <w:ind w:left="993" w:hanging="142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- содержание и проведение ремонтных работ служебного жилого фонда -215 тыс. руб.</w:t>
      </w:r>
    </w:p>
    <w:p w:rsidR="00780F54" w:rsidRPr="00780F54" w:rsidRDefault="00780F54" w:rsidP="0093345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0"/>
          <w:u w:val="single"/>
          <w:lang w:val="ru-RU" w:eastAsia="ru-RU"/>
        </w:rPr>
      </w:pPr>
      <w:r w:rsidRPr="00780F54">
        <w:rPr>
          <w:rFonts w:ascii="Times New Roman" w:eastAsia="Times New Roman" w:hAnsi="Times New Roman"/>
          <w:sz w:val="24"/>
          <w:szCs w:val="20"/>
          <w:u w:val="single"/>
          <w:lang w:val="ru-RU" w:eastAsia="ru-RU"/>
        </w:rPr>
        <w:t xml:space="preserve"> Итог:</w:t>
      </w:r>
    </w:p>
    <w:p w:rsidR="00CF3797" w:rsidRDefault="00933459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Запланированная сумма 4 174,80 тыс. рублей на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>ф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ормирование служебного жилого фонда</w:t>
      </w:r>
      <w:r w:rsidR="00CF3797" w:rsidRPr="00D6794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>использова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на в полном объеме. </w:t>
      </w:r>
      <w:r w:rsidR="00050AA0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Для специалистов приобретены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4 квартиры. Специализированный жилищный фонд составил  </w:t>
      </w:r>
      <w:r w:rsidR="00FC7F44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1899,3 </w:t>
      </w:r>
      <w:proofErr w:type="spellStart"/>
      <w:r>
        <w:rPr>
          <w:rFonts w:ascii="Times New Roman" w:eastAsia="Times New Roman" w:hAnsi="Times New Roman"/>
          <w:sz w:val="24"/>
          <w:szCs w:val="20"/>
          <w:lang w:val="ru-RU"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</w:p>
    <w:p w:rsidR="00C56DE6" w:rsidRDefault="00701168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Запланированные денежные средства на у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>плат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у</w:t>
      </w:r>
      <w:r w:rsidR="00780F54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налогов на имущество за служебный жилой фонд 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в размере 301,7 тыс. рублей использованы в полном объеме</w:t>
      </w:r>
      <w:r w:rsidR="00CF3797" w:rsidRPr="00CF3797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на у</w:t>
      </w:r>
      <w:r w:rsidR="00CF3797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>плат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у</w:t>
      </w:r>
      <w:r w:rsidR="00CF3797" w:rsidRPr="00427E3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налогов на имущество</w:t>
      </w:r>
      <w:r w:rsidR="00780F54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</w:p>
    <w:p w:rsidR="00187CF3" w:rsidRDefault="00187CF3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Вносы на капитальный  ремонт в многоквартирных домах, находящихся в муниципальной собственности (служебный жилой фонд) 10 тыс. рублей </w:t>
      </w:r>
      <w:r w:rsidR="00CF3797">
        <w:rPr>
          <w:rFonts w:ascii="Times New Roman" w:eastAsia="Times New Roman" w:hAnsi="Times New Roman"/>
          <w:sz w:val="24"/>
          <w:szCs w:val="20"/>
          <w:lang w:val="ru-RU" w:eastAsia="ru-RU"/>
        </w:rPr>
        <w:t>оплачены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за 3 служебные квартиры, находящиеся по адресам: </w:t>
      </w:r>
      <w:proofErr w:type="gramStart"/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Пермский край, с. Юрла, ул. Свердлова, д. 78; Пермский край, с. Юрла, ул. Коммунаров, д. 9; Пермский край, с. Юрла, ул. </w:t>
      </w:r>
      <w:proofErr w:type="spellStart"/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Бар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абанова</w:t>
      </w:r>
      <w:proofErr w:type="spellEnd"/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, д. </w:t>
      </w:r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9, кв.</w:t>
      </w:r>
      <w:r w:rsidR="00075634">
        <w:rPr>
          <w:rFonts w:ascii="Times New Roman" w:eastAsia="Times New Roman" w:hAnsi="Times New Roman"/>
          <w:sz w:val="24"/>
          <w:szCs w:val="20"/>
          <w:lang w:val="ru-RU" w:eastAsia="ru-RU"/>
        </w:rPr>
        <w:t>6</w:t>
      </w:r>
      <w:r w:rsidR="00E03459" w:rsidRPr="00E034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="00E03459">
        <w:rPr>
          <w:rFonts w:ascii="Times New Roman" w:eastAsia="Times New Roman" w:hAnsi="Times New Roman"/>
          <w:sz w:val="24"/>
          <w:szCs w:val="20"/>
          <w:lang w:val="ru-RU" w:eastAsia="ru-RU"/>
        </w:rPr>
        <w:t>в полном объеме</w:t>
      </w:r>
      <w:r w:rsidR="00C0775E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proofErr w:type="gramEnd"/>
    </w:p>
    <w:p w:rsidR="00187CF3" w:rsidRPr="00D6794D" w:rsidRDefault="00C0775E" w:rsidP="00933459">
      <w:pPr>
        <w:widowControl w:val="0"/>
        <w:autoSpaceDE w:val="0"/>
        <w:autoSpaceDN w:val="0"/>
        <w:spacing w:after="0"/>
        <w:ind w:left="851"/>
        <w:jc w:val="both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>На с</w:t>
      </w:r>
      <w:r w:rsidR="00187CF3">
        <w:rPr>
          <w:rFonts w:ascii="Times New Roman" w:eastAsia="Times New Roman" w:hAnsi="Times New Roman"/>
          <w:sz w:val="24"/>
          <w:szCs w:val="20"/>
          <w:lang w:val="ru-RU" w:eastAsia="ru-RU"/>
        </w:rPr>
        <w:t>одержание и проведение ремонтных работ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служебного жилого фонда  в размере </w:t>
      </w:r>
      <w:r w:rsidR="00187CF3">
        <w:rPr>
          <w:rFonts w:ascii="Times New Roman" w:eastAsia="Times New Roman" w:hAnsi="Times New Roman"/>
          <w:sz w:val="24"/>
          <w:szCs w:val="20"/>
          <w:lang w:val="ru-RU" w:eastAsia="ru-RU"/>
        </w:rPr>
        <w:t>215 тыс. руб.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денежные средства использованы на ремонт специализированного жилого помещения по адресу: </w:t>
      </w:r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д. </w:t>
      </w:r>
      <w:proofErr w:type="spellStart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Вятчина</w:t>
      </w:r>
      <w:proofErr w:type="spellEnd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, ул. </w:t>
      </w:r>
      <w:proofErr w:type="gramStart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Центральная</w:t>
      </w:r>
      <w:proofErr w:type="gramEnd"/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, д.13</w:t>
      </w:r>
      <w:r w:rsidR="00A14479">
        <w:rPr>
          <w:rFonts w:ascii="Times New Roman" w:eastAsia="Times New Roman" w:hAnsi="Times New Roman"/>
          <w:sz w:val="24"/>
          <w:szCs w:val="20"/>
          <w:lang w:val="ru-RU" w:eastAsia="ru-RU"/>
        </w:rPr>
        <w:t>, в полном объеме</w:t>
      </w:r>
      <w:r w:rsidR="00701168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  <w:r w:rsidR="00E0345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Были </w:t>
      </w:r>
      <w:r w:rsidR="00A14479">
        <w:rPr>
          <w:rFonts w:ascii="Times New Roman" w:eastAsia="Times New Roman" w:hAnsi="Times New Roman"/>
          <w:sz w:val="24"/>
          <w:szCs w:val="20"/>
          <w:lang w:val="ru-RU" w:eastAsia="ru-RU"/>
        </w:rPr>
        <w:t>выполнены такие работы как разборка покрытий полов, разборка оснований покрытия полов, разборка грунта внутри здания</w:t>
      </w:r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, антисептическая обработка поверхностей, укладка лаг, устройство покрытий пола, устройство плинтусов, подъем </w:t>
      </w:r>
      <w:proofErr w:type="gram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рубленных</w:t>
      </w:r>
      <w:proofErr w:type="gram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стен, рубка стен, ремонт конопатки шва с добавлением пакли, облицовка гипсовыми и </w:t>
      </w:r>
      <w:proofErr w:type="spell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гипсоволокнистыми</w:t>
      </w:r>
      <w:proofErr w:type="spell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листами, оклейка обоями стен, наружная облицовка поверхности стен, обшивка </w:t>
      </w:r>
      <w:proofErr w:type="spellStart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профнастилом</w:t>
      </w:r>
      <w:proofErr w:type="spellEnd"/>
      <w:r w:rsidR="004A771F">
        <w:rPr>
          <w:rFonts w:ascii="Times New Roman" w:eastAsia="Times New Roman" w:hAnsi="Times New Roman"/>
          <w:sz w:val="24"/>
          <w:szCs w:val="20"/>
          <w:lang w:val="ru-RU" w:eastAsia="ru-RU"/>
        </w:rPr>
        <w:t>, разработка дымовых кирпичных труб и боровов в один канал, разработка кладки печи, готовка основание под печь, очага и трубы, кладка печи, очага, кладка дымовой кирпичной трубы.</w:t>
      </w:r>
    </w:p>
    <w:p w:rsidR="00701168" w:rsidRDefault="00701168" w:rsidP="00933459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hAnsi="Times New Roman"/>
          <w:lang w:val="ru-RU"/>
        </w:rPr>
      </w:pPr>
    </w:p>
    <w:p w:rsidR="00A84BD4" w:rsidRDefault="00A84BD4" w:rsidP="001F6C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lang w:val="ru-RU"/>
        </w:rPr>
      </w:pPr>
      <w:r w:rsidRPr="00427E3E">
        <w:rPr>
          <w:rFonts w:ascii="Times New Roman" w:hAnsi="Times New Roman"/>
          <w:lang w:val="ru-RU"/>
        </w:rPr>
        <w:t>5. Данные</w:t>
      </w:r>
      <w:r w:rsidRPr="001F6C06">
        <w:rPr>
          <w:lang w:val="ru-RU"/>
        </w:rPr>
        <w:t xml:space="preserve"> об использовании бюджетных ассигнований и иных ср</w:t>
      </w:r>
      <w:r w:rsidR="00FC661C" w:rsidRPr="001F6C06">
        <w:rPr>
          <w:lang w:val="ru-RU"/>
        </w:rPr>
        <w:t>едств на выполнение мероприятий</w:t>
      </w:r>
    </w:p>
    <w:p w:rsidR="00701168" w:rsidRPr="001F6C06" w:rsidRDefault="00701168" w:rsidP="001F6C0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lang w:val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684"/>
        <w:gridCol w:w="1136"/>
        <w:gridCol w:w="1701"/>
        <w:gridCol w:w="1843"/>
        <w:gridCol w:w="4394"/>
      </w:tblGrid>
      <w:tr w:rsidR="00A84BD4" w:rsidTr="00EC39DD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8364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4394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Причины </w:t>
            </w:r>
            <w:proofErr w:type="spellStart"/>
            <w:r>
              <w:t>неосвоения</w:t>
            </w:r>
            <w:proofErr w:type="spellEnd"/>
            <w:r>
              <w:t xml:space="preserve"> бюджетных средств</w:t>
            </w:r>
          </w:p>
        </w:tc>
      </w:tr>
      <w:tr w:rsidR="00A84BD4" w:rsidTr="00EC39DD">
        <w:tc>
          <w:tcPr>
            <w:tcW w:w="2330" w:type="dxa"/>
            <w:vMerge/>
          </w:tcPr>
          <w:p w:rsidR="00A84BD4" w:rsidRDefault="00A84BD4" w:rsidP="00196FA6"/>
        </w:tc>
        <w:tc>
          <w:tcPr>
            <w:tcW w:w="368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  <w:p w:rsidR="00701168" w:rsidRDefault="00701168" w:rsidP="00701168">
            <w:pPr>
              <w:pStyle w:val="ConsPlusNormal"/>
              <w:ind w:right="-62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  <w:p w:rsidR="00701168" w:rsidRDefault="00701168" w:rsidP="00196FA6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4394" w:type="dxa"/>
            <w:vMerge/>
          </w:tcPr>
          <w:p w:rsidR="00A84BD4" w:rsidRDefault="00A84BD4" w:rsidP="00196FA6"/>
        </w:tc>
      </w:tr>
      <w:tr w:rsidR="00A84BD4" w:rsidTr="00EC39DD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84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6C677D" w:rsidRPr="001F6C06" w:rsidTr="00EC39DD">
        <w:tc>
          <w:tcPr>
            <w:tcW w:w="2330" w:type="dxa"/>
            <w:vMerge w:val="restart"/>
          </w:tcPr>
          <w:p w:rsidR="006C677D" w:rsidRPr="0011290C" w:rsidRDefault="006C677D" w:rsidP="00D6794D">
            <w:pPr>
              <w:pStyle w:val="ConsPlusNormal"/>
              <w:rPr>
                <w:sz w:val="22"/>
                <w:szCs w:val="22"/>
              </w:rPr>
            </w:pPr>
            <w:r w:rsidRPr="0011290C">
              <w:rPr>
                <w:sz w:val="22"/>
                <w:szCs w:val="22"/>
              </w:rPr>
              <w:t xml:space="preserve">Муниципальная программа </w:t>
            </w:r>
            <w:r w:rsidR="0011290C" w:rsidRPr="0011290C">
              <w:rPr>
                <w:rFonts w:eastAsia="Calibri"/>
                <w:sz w:val="22"/>
                <w:szCs w:val="22"/>
                <w:lang w:eastAsia="en-US"/>
              </w:rPr>
              <w:t xml:space="preserve">«Кадры» </w:t>
            </w: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136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4701,50</w:t>
            </w:r>
          </w:p>
        </w:tc>
        <w:tc>
          <w:tcPr>
            <w:tcW w:w="1701" w:type="dxa"/>
          </w:tcPr>
          <w:p w:rsidR="00EC39D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4701,50</w:t>
            </w:r>
          </w:p>
        </w:tc>
        <w:tc>
          <w:tcPr>
            <w:tcW w:w="1843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94" w:type="dxa"/>
          </w:tcPr>
          <w:p w:rsidR="006C677D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RPr="001F6C06" w:rsidTr="00EC39DD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136" w:type="dxa"/>
            <w:vAlign w:val="bottom"/>
          </w:tcPr>
          <w:p w:rsidR="006C677D" w:rsidRPr="00481D62" w:rsidRDefault="009345BF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C677D" w:rsidRPr="00481D62" w:rsidRDefault="009345BF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RPr="001F6C06" w:rsidTr="00EC39DD">
        <w:tc>
          <w:tcPr>
            <w:tcW w:w="2330" w:type="dxa"/>
            <w:vMerge/>
          </w:tcPr>
          <w:p w:rsidR="006C677D" w:rsidRPr="001F6C06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136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bottom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bottom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RPr="00A84BD4" w:rsidTr="00EC39DD">
        <w:tc>
          <w:tcPr>
            <w:tcW w:w="2330" w:type="dxa"/>
            <w:vMerge/>
          </w:tcPr>
          <w:p w:rsidR="006C677D" w:rsidRPr="001F6C06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136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6C677D" w:rsidTr="00EC39DD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684" w:type="dxa"/>
            <w:vAlign w:val="bottom"/>
          </w:tcPr>
          <w:p w:rsidR="006C677D" w:rsidRPr="00481D6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136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677D" w:rsidRPr="00481D62" w:rsidRDefault="00481D62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</w:tcPr>
          <w:p w:rsidR="006C677D" w:rsidRPr="00481D62" w:rsidRDefault="006C677D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  <w:tr w:rsidR="00701168" w:rsidTr="00EC39DD">
        <w:tc>
          <w:tcPr>
            <w:tcW w:w="2330" w:type="dxa"/>
            <w:vMerge/>
          </w:tcPr>
          <w:p w:rsidR="00701168" w:rsidRPr="00F80442" w:rsidRDefault="00701168" w:rsidP="00196FA6"/>
        </w:tc>
        <w:tc>
          <w:tcPr>
            <w:tcW w:w="3684" w:type="dxa"/>
            <w:vAlign w:val="bottom"/>
          </w:tcPr>
          <w:p w:rsidR="00701168" w:rsidRPr="00481D62" w:rsidRDefault="00701168" w:rsidP="00196FA6">
            <w:pPr>
              <w:pStyle w:val="ConsPlusNormal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136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4701,50</w:t>
            </w:r>
          </w:p>
        </w:tc>
        <w:tc>
          <w:tcPr>
            <w:tcW w:w="1701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4701,50</w:t>
            </w:r>
          </w:p>
        </w:tc>
        <w:tc>
          <w:tcPr>
            <w:tcW w:w="1843" w:type="dxa"/>
          </w:tcPr>
          <w:p w:rsidR="00701168" w:rsidRPr="00701168" w:rsidRDefault="00701168" w:rsidP="00701168">
            <w:pPr>
              <w:jc w:val="center"/>
              <w:rPr>
                <w:rFonts w:ascii="Times New Roman" w:hAnsi="Times New Roman"/>
              </w:rPr>
            </w:pPr>
            <w:r w:rsidRPr="00701168">
              <w:rPr>
                <w:rFonts w:ascii="Times New Roman" w:hAnsi="Times New Roman"/>
              </w:rPr>
              <w:t>100</w:t>
            </w:r>
          </w:p>
        </w:tc>
        <w:tc>
          <w:tcPr>
            <w:tcW w:w="4394" w:type="dxa"/>
          </w:tcPr>
          <w:p w:rsidR="00701168" w:rsidRPr="00481D62" w:rsidRDefault="00701168" w:rsidP="00EC39DD">
            <w:pPr>
              <w:pStyle w:val="ConsPlusNormal"/>
              <w:jc w:val="center"/>
              <w:rPr>
                <w:sz w:val="22"/>
                <w:szCs w:val="22"/>
              </w:rPr>
            </w:pPr>
            <w:r w:rsidRPr="00481D62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427E3E" w:rsidRDefault="00A84BD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t>6. Информация о внесенных ответственным исполнителем изменениях в муниципальную программу</w:t>
      </w:r>
      <w:r w:rsidR="00427E3E">
        <w:rPr>
          <w:szCs w:val="24"/>
        </w:rPr>
        <w:t>:</w:t>
      </w:r>
      <w:r w:rsidR="001F6C06" w:rsidRPr="00427E3E">
        <w:rPr>
          <w:szCs w:val="24"/>
        </w:rPr>
        <w:t xml:space="preserve"> </w:t>
      </w:r>
    </w:p>
    <w:p w:rsidR="00075634" w:rsidRPr="00427E3E" w:rsidRDefault="0007563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1. Постановление </w:t>
      </w:r>
      <w:r w:rsidRPr="00427E3E">
        <w:rPr>
          <w:szCs w:val="24"/>
        </w:rPr>
        <w:t xml:space="preserve">Администрации Юрлинского муниципального района  </w:t>
      </w:r>
      <w:r>
        <w:rPr>
          <w:szCs w:val="24"/>
        </w:rPr>
        <w:t>№ 41 от 02.02.2017 г.</w:t>
      </w:r>
      <w:r w:rsidRPr="00075634">
        <w:rPr>
          <w:szCs w:val="24"/>
        </w:rPr>
        <w:t xml:space="preserve"> </w:t>
      </w:r>
      <w:r>
        <w:rPr>
          <w:szCs w:val="24"/>
        </w:rPr>
        <w:t xml:space="preserve">о внесение изменений в муниципальную программу «Кадры, утвержденную постановлением Администрации </w:t>
      </w:r>
      <w:r w:rsidRPr="00427E3E">
        <w:rPr>
          <w:szCs w:val="24"/>
        </w:rPr>
        <w:t xml:space="preserve">Юрлинского муниципального района  </w:t>
      </w:r>
      <w:r>
        <w:rPr>
          <w:szCs w:val="24"/>
        </w:rPr>
        <w:t>№ 72 от 10.02.2012»;</w:t>
      </w:r>
    </w:p>
    <w:p w:rsidR="0061265D" w:rsidRDefault="00075634" w:rsidP="00933459">
      <w:pPr>
        <w:pStyle w:val="ConsPlusNormal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2. </w:t>
      </w:r>
      <w:r w:rsidR="004E40BF">
        <w:rPr>
          <w:szCs w:val="24"/>
        </w:rPr>
        <w:t xml:space="preserve">Постановление </w:t>
      </w:r>
      <w:r w:rsidR="004E40BF" w:rsidRPr="00427E3E">
        <w:rPr>
          <w:szCs w:val="24"/>
        </w:rPr>
        <w:t xml:space="preserve">Администрации Юрлинского муниципального района  </w:t>
      </w:r>
      <w:r w:rsidR="004E40BF">
        <w:rPr>
          <w:szCs w:val="24"/>
        </w:rPr>
        <w:t>№ 201 от 15.05.2017 г.</w:t>
      </w:r>
      <w:r w:rsidR="00CF3797">
        <w:rPr>
          <w:szCs w:val="24"/>
        </w:rPr>
        <w:t xml:space="preserve"> о внесение изменений в муниципальную программу «Кадры, утвержденную постановлением Администрации </w:t>
      </w:r>
      <w:r w:rsidR="00CF3797" w:rsidRPr="00427E3E">
        <w:rPr>
          <w:szCs w:val="24"/>
        </w:rPr>
        <w:t xml:space="preserve">Юрлинского муниципального района  </w:t>
      </w:r>
      <w:r w:rsidR="00CF3797">
        <w:rPr>
          <w:szCs w:val="24"/>
        </w:rPr>
        <w:t>№ 72 от 10.02.2012»</w:t>
      </w:r>
      <w:r w:rsidR="00427E3E">
        <w:rPr>
          <w:szCs w:val="24"/>
        </w:rPr>
        <w:t>.</w:t>
      </w:r>
    </w:p>
    <w:p w:rsidR="003235AB" w:rsidRDefault="003235AB" w:rsidP="00933459">
      <w:pPr>
        <w:pStyle w:val="ConsPlusNormal"/>
        <w:spacing w:line="276" w:lineRule="auto"/>
        <w:ind w:firstLine="540"/>
        <w:jc w:val="both"/>
        <w:rPr>
          <w:szCs w:val="24"/>
        </w:rPr>
      </w:pPr>
    </w:p>
    <w:p w:rsidR="003235AB" w:rsidRDefault="003235AB" w:rsidP="00DB24F5">
      <w:pPr>
        <w:pStyle w:val="ConsPlusNormal"/>
        <w:spacing w:line="276" w:lineRule="auto"/>
        <w:jc w:val="both"/>
        <w:rPr>
          <w:szCs w:val="24"/>
        </w:rPr>
        <w:sectPr w:rsidR="003235AB" w:rsidSect="00194748">
          <w:pgSz w:w="16838" w:h="11906" w:orient="landscape"/>
          <w:pgMar w:top="1134" w:right="96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235AB" w:rsidRPr="00427E3E" w:rsidRDefault="003235AB" w:rsidP="00DB24F5">
      <w:pPr>
        <w:pStyle w:val="ConsPlusNormal"/>
        <w:spacing w:line="276" w:lineRule="auto"/>
        <w:jc w:val="both"/>
        <w:rPr>
          <w:szCs w:val="24"/>
        </w:rPr>
      </w:pPr>
    </w:p>
    <w:sectPr w:rsidR="003235AB" w:rsidRPr="00427E3E" w:rsidSect="00CC52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7"/>
    <w:rsid w:val="00017C68"/>
    <w:rsid w:val="00031654"/>
    <w:rsid w:val="00050AA0"/>
    <w:rsid w:val="00075634"/>
    <w:rsid w:val="00076D16"/>
    <w:rsid w:val="00082411"/>
    <w:rsid w:val="0011290C"/>
    <w:rsid w:val="001517C6"/>
    <w:rsid w:val="00187CF3"/>
    <w:rsid w:val="00192557"/>
    <w:rsid w:val="00194748"/>
    <w:rsid w:val="001A29B9"/>
    <w:rsid w:val="001A4CC3"/>
    <w:rsid w:val="001F1642"/>
    <w:rsid w:val="001F6C06"/>
    <w:rsid w:val="002C2D81"/>
    <w:rsid w:val="002D4863"/>
    <w:rsid w:val="00315081"/>
    <w:rsid w:val="003235AB"/>
    <w:rsid w:val="0033201B"/>
    <w:rsid w:val="003328FA"/>
    <w:rsid w:val="003438FA"/>
    <w:rsid w:val="003440B9"/>
    <w:rsid w:val="003B287D"/>
    <w:rsid w:val="00403BB6"/>
    <w:rsid w:val="00427E3E"/>
    <w:rsid w:val="00450FF1"/>
    <w:rsid w:val="004643D8"/>
    <w:rsid w:val="00481D62"/>
    <w:rsid w:val="00495849"/>
    <w:rsid w:val="004A771F"/>
    <w:rsid w:val="004E40BF"/>
    <w:rsid w:val="0061265D"/>
    <w:rsid w:val="00641C9D"/>
    <w:rsid w:val="006C677D"/>
    <w:rsid w:val="00701168"/>
    <w:rsid w:val="007455DB"/>
    <w:rsid w:val="0075734C"/>
    <w:rsid w:val="00780F54"/>
    <w:rsid w:val="00847DE7"/>
    <w:rsid w:val="00855021"/>
    <w:rsid w:val="0089727A"/>
    <w:rsid w:val="008C5B97"/>
    <w:rsid w:val="008C6804"/>
    <w:rsid w:val="00933459"/>
    <w:rsid w:val="009345BF"/>
    <w:rsid w:val="00987A06"/>
    <w:rsid w:val="00997DD7"/>
    <w:rsid w:val="00A11866"/>
    <w:rsid w:val="00A14479"/>
    <w:rsid w:val="00A305B7"/>
    <w:rsid w:val="00A84BD4"/>
    <w:rsid w:val="00AA6E72"/>
    <w:rsid w:val="00B4380F"/>
    <w:rsid w:val="00BA490D"/>
    <w:rsid w:val="00C0775E"/>
    <w:rsid w:val="00C1412A"/>
    <w:rsid w:val="00C56DE6"/>
    <w:rsid w:val="00C60360"/>
    <w:rsid w:val="00CC5261"/>
    <w:rsid w:val="00CF3797"/>
    <w:rsid w:val="00D15ADA"/>
    <w:rsid w:val="00D6794D"/>
    <w:rsid w:val="00DA1648"/>
    <w:rsid w:val="00DB24F5"/>
    <w:rsid w:val="00E03459"/>
    <w:rsid w:val="00E751B5"/>
    <w:rsid w:val="00E82735"/>
    <w:rsid w:val="00EA5F7B"/>
    <w:rsid w:val="00EC39DD"/>
    <w:rsid w:val="00EE404B"/>
    <w:rsid w:val="00F4458E"/>
    <w:rsid w:val="00F80442"/>
    <w:rsid w:val="00FC661C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E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E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2018-05-28T05:23:00Z</cp:lastPrinted>
  <dcterms:created xsi:type="dcterms:W3CDTF">2018-05-11T04:01:00Z</dcterms:created>
  <dcterms:modified xsi:type="dcterms:W3CDTF">2018-05-30T04:46:00Z</dcterms:modified>
</cp:coreProperties>
</file>